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F2EB7" w14:textId="7131A30A" w:rsidR="006F2B21" w:rsidRPr="00547A12" w:rsidRDefault="006F2B21" w:rsidP="006F2B21">
      <w:pPr>
        <w:tabs>
          <w:tab w:val="left" w:pos="1985"/>
        </w:tabs>
        <w:spacing w:after="0"/>
        <w:ind w:left="0" w:firstLine="0"/>
        <w:rPr>
          <w:rFonts w:ascii="Arial" w:hAnsi="Arial" w:cs="Arial"/>
          <w:b/>
          <w:bCs/>
          <w:sz w:val="28"/>
          <w:lang w:val="en-US"/>
        </w:rPr>
      </w:pPr>
      <w:r w:rsidRPr="00547A12">
        <w:rPr>
          <w:rFonts w:ascii="Arial" w:hAnsi="Arial" w:cs="Arial"/>
          <w:b/>
          <w:bCs/>
          <w:sz w:val="28"/>
          <w:lang w:val="en-US"/>
        </w:rPr>
        <w:t>3GPP TSG RAN WG1 #106-e</w:t>
      </w:r>
      <w:r w:rsidRPr="00547A12">
        <w:rPr>
          <w:rFonts w:ascii="Arial" w:hAnsi="Arial" w:cs="Arial"/>
          <w:b/>
          <w:bCs/>
          <w:sz w:val="28"/>
          <w:lang w:val="en-US"/>
        </w:rPr>
        <w:tab/>
      </w:r>
      <w:r w:rsidRPr="00547A12">
        <w:rPr>
          <w:rFonts w:ascii="Arial" w:hAnsi="Arial" w:cs="Arial"/>
          <w:b/>
          <w:bCs/>
          <w:sz w:val="28"/>
          <w:lang w:val="en-US"/>
        </w:rPr>
        <w:tab/>
      </w:r>
      <w:r w:rsidRPr="00547A12">
        <w:rPr>
          <w:rFonts w:ascii="Arial" w:hAnsi="Arial" w:cs="Arial"/>
          <w:b/>
          <w:bCs/>
          <w:sz w:val="28"/>
          <w:lang w:val="en-US"/>
        </w:rPr>
        <w:tab/>
      </w:r>
      <w:r>
        <w:rPr>
          <w:rFonts w:ascii="Arial" w:hAnsi="Arial" w:cs="Arial"/>
          <w:b/>
          <w:bCs/>
          <w:sz w:val="28"/>
          <w:lang w:val="en-US"/>
        </w:rPr>
        <w:tab/>
        <w:t xml:space="preserve">    </w:t>
      </w:r>
      <w:r>
        <w:rPr>
          <w:rFonts w:ascii="Arial" w:hAnsi="Arial" w:cs="Arial"/>
          <w:b/>
          <w:bCs/>
          <w:sz w:val="28"/>
          <w:lang w:val="en-US"/>
        </w:rPr>
        <w:tab/>
        <w:t xml:space="preserve">    </w:t>
      </w:r>
      <w:r w:rsidRPr="00547A12">
        <w:rPr>
          <w:rFonts w:ascii="Arial" w:hAnsi="Arial" w:cs="Arial"/>
          <w:b/>
          <w:bCs/>
          <w:sz w:val="28"/>
          <w:lang w:val="en-US"/>
        </w:rPr>
        <w:t>R1-210</w:t>
      </w:r>
      <w:r w:rsidR="00F7292A">
        <w:rPr>
          <w:rFonts w:ascii="Arial" w:hAnsi="Arial" w:cs="Arial"/>
          <w:b/>
          <w:bCs/>
          <w:sz w:val="28"/>
          <w:lang w:val="en-US"/>
        </w:rPr>
        <w:t>7444</w:t>
      </w:r>
    </w:p>
    <w:p w14:paraId="340FFB7F" w14:textId="77777777" w:rsidR="006F2B21" w:rsidRDefault="006F2B21" w:rsidP="006F2B21">
      <w:pPr>
        <w:tabs>
          <w:tab w:val="left" w:pos="1985"/>
        </w:tabs>
        <w:spacing w:after="0"/>
        <w:ind w:left="0" w:firstLine="0"/>
        <w:rPr>
          <w:rFonts w:ascii="Arial" w:hAnsi="Arial" w:cs="Arial"/>
          <w:b/>
          <w:bCs/>
          <w:sz w:val="28"/>
          <w:lang w:val="en-US"/>
        </w:rPr>
      </w:pPr>
      <w:r w:rsidRPr="00547A12">
        <w:rPr>
          <w:rFonts w:ascii="Arial" w:hAnsi="Arial" w:cs="Arial"/>
          <w:b/>
          <w:bCs/>
          <w:sz w:val="28"/>
          <w:lang w:val="en-US"/>
        </w:rPr>
        <w:t>e-Meeting, August 16th – 27th, 2021</w:t>
      </w:r>
    </w:p>
    <w:p w14:paraId="3113FC2A"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14:paraId="66BDAAF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554285D"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14:paraId="589D2378"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F668877" w14:textId="77777777" w:rsidR="00095BF5" w:rsidRPr="003637FD" w:rsidRDefault="00095BF5" w:rsidP="003C7E97">
      <w:pPr>
        <w:pStyle w:val="1"/>
        <w:numPr>
          <w:ilvl w:val="0"/>
          <w:numId w:val="1"/>
        </w:numPr>
      </w:pPr>
      <w:r w:rsidRPr="003637FD">
        <w:rPr>
          <w:rFonts w:hint="eastAsia"/>
        </w:rPr>
        <w:t>Introduction</w:t>
      </w:r>
    </w:p>
    <w:p w14:paraId="3B8DF6DA" w14:textId="652F1B64"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w:t>
      </w:r>
      <w:r w:rsidR="006F2B21">
        <w:rPr>
          <w:rFonts w:eastAsia="바탕"/>
          <w:sz w:val="22"/>
          <w:szCs w:val="22"/>
          <w:lang w:eastAsia="ko-KR"/>
        </w:rPr>
        <w:t>92-e</w:t>
      </w:r>
      <w:r w:rsidRPr="006E5A16">
        <w:rPr>
          <w:rFonts w:eastAsia="바탕"/>
          <w:sz w:val="22"/>
          <w:szCs w:val="22"/>
          <w:lang w:eastAsia="ko-KR"/>
        </w:rPr>
        <w:t xml:space="preserve">, following </w:t>
      </w:r>
      <w:r w:rsidR="006F2B21">
        <w:rPr>
          <w:rFonts w:eastAsia="바탕"/>
          <w:sz w:val="22"/>
          <w:szCs w:val="22"/>
          <w:lang w:eastAsia="ko-KR"/>
        </w:rPr>
        <w:t xml:space="preserve">RAN guidance was made for </w:t>
      </w:r>
      <w:r>
        <w:rPr>
          <w:rFonts w:eastAsia="바탕"/>
          <w:sz w:val="22"/>
          <w:szCs w:val="22"/>
          <w:lang w:eastAsia="ko-KR"/>
        </w:rPr>
        <w:t>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6F2B21">
        <w:rPr>
          <w:rFonts w:eastAsia="바탕"/>
          <w:sz w:val="22"/>
          <w:szCs w:val="22"/>
          <w:lang w:eastAsia="ko-KR"/>
        </w:rPr>
        <w:t>-2</w:t>
      </w:r>
      <w:r w:rsidRPr="006E5A16">
        <w:rPr>
          <w:rFonts w:eastAsia="바탕"/>
          <w:sz w:val="22"/>
          <w:szCs w:val="22"/>
          <w:lang w:eastAsia="ko-KR"/>
        </w:rPr>
        <w:t>].</w:t>
      </w:r>
      <w:r w:rsidR="009E12C3">
        <w:rPr>
          <w:rFonts w:eastAsia="바탕"/>
          <w:sz w:val="22"/>
          <w:szCs w:val="22"/>
          <w:lang w:eastAsia="ko-KR"/>
        </w:rPr>
        <w:t xml:space="preserve"> </w:t>
      </w:r>
    </w:p>
    <w:tbl>
      <w:tblPr>
        <w:tblStyle w:val="a6"/>
        <w:tblW w:w="9918" w:type="dxa"/>
        <w:jc w:val="center"/>
        <w:tblLook w:val="04A0" w:firstRow="1" w:lastRow="0" w:firstColumn="1" w:lastColumn="0" w:noHBand="0" w:noVBand="1"/>
      </w:tblPr>
      <w:tblGrid>
        <w:gridCol w:w="9918"/>
      </w:tblGrid>
      <w:tr w:rsidR="004F6257" w:rsidRPr="00D13A31" w14:paraId="46A523F9" w14:textId="77777777" w:rsidTr="00D13A31">
        <w:trPr>
          <w:jc w:val="center"/>
        </w:trPr>
        <w:tc>
          <w:tcPr>
            <w:tcW w:w="9918" w:type="dxa"/>
          </w:tcPr>
          <w:p w14:paraId="1FCFE1F7" w14:textId="4145F561" w:rsidR="006F2B21" w:rsidRPr="00DD32EF" w:rsidRDefault="006F2B21" w:rsidP="00DD32EF">
            <w:pPr>
              <w:pStyle w:val="Doc"/>
              <w:ind w:firstLine="180"/>
              <w:rPr>
                <w:sz w:val="18"/>
                <w:szCs w:val="18"/>
              </w:rPr>
            </w:pPr>
            <w:r w:rsidRPr="00DD32EF">
              <w:rPr>
                <w:sz w:val="18"/>
                <w:szCs w:val="18"/>
              </w:rPr>
              <w:t>In RP-211569:</w:t>
            </w:r>
          </w:p>
          <w:p w14:paraId="1DABDF12" w14:textId="77777777" w:rsidR="006F2B21" w:rsidRPr="00DD32EF" w:rsidRDefault="006F2B21" w:rsidP="00DD32EF">
            <w:pPr>
              <w:pStyle w:val="ac"/>
              <w:numPr>
                <w:ilvl w:val="0"/>
                <w:numId w:val="42"/>
              </w:numPr>
              <w:spacing w:before="0" w:line="280" w:lineRule="exact"/>
              <w:ind w:leftChars="0"/>
              <w:rPr>
                <w:b/>
                <w:sz w:val="18"/>
                <w:szCs w:val="18"/>
              </w:rPr>
            </w:pPr>
            <w:r w:rsidRPr="00DD32EF">
              <w:rPr>
                <w:rFonts w:ascii="Times New Roman" w:hAnsi="Times New Roman"/>
                <w:b/>
                <w:sz w:val="18"/>
                <w:szCs w:val="18"/>
              </w:rPr>
              <w:t>Revised Recommendation1: Provide the following RAN guidance on CSI feedback enhancement [RAN1]</w:t>
            </w:r>
          </w:p>
          <w:p w14:paraId="7D0DA1E0" w14:textId="77777777" w:rsidR="006F2B21" w:rsidRPr="00DD32EF" w:rsidRDefault="006F2B21" w:rsidP="00DD32EF">
            <w:pPr>
              <w:pStyle w:val="ac"/>
              <w:numPr>
                <w:ilvl w:val="1"/>
                <w:numId w:val="42"/>
              </w:numPr>
              <w:spacing w:before="0" w:line="280" w:lineRule="exact"/>
              <w:ind w:leftChars="0"/>
              <w:rPr>
                <w:rFonts w:ascii="Times New Roman" w:hAnsi="Times New Roman"/>
                <w:b/>
                <w:sz w:val="18"/>
                <w:szCs w:val="18"/>
              </w:rPr>
            </w:pPr>
            <w:r w:rsidRPr="00DD32EF">
              <w:rPr>
                <w:rFonts w:ascii="Times New Roman" w:hAnsi="Times New Roman"/>
                <w:b/>
                <w:sz w:val="18"/>
                <w:szCs w:val="18"/>
              </w:rPr>
              <w:t>Focus subsequent working group discussions on the schemes proposed in RP-211297.</w:t>
            </w:r>
          </w:p>
          <w:p w14:paraId="60E2A084" w14:textId="2CD13B73" w:rsidR="006F2B21" w:rsidRPr="00DD32EF" w:rsidRDefault="006F2B21" w:rsidP="00DD32EF">
            <w:pPr>
              <w:pStyle w:val="ac"/>
              <w:numPr>
                <w:ilvl w:val="2"/>
                <w:numId w:val="42"/>
              </w:numPr>
              <w:spacing w:before="0" w:line="280" w:lineRule="exact"/>
              <w:ind w:leftChars="0"/>
              <w:rPr>
                <w:rFonts w:ascii="Times New Roman" w:hAnsi="Times New Roman"/>
                <w:b/>
                <w:sz w:val="18"/>
                <w:szCs w:val="18"/>
              </w:rPr>
            </w:pPr>
            <w:r w:rsidRPr="00DD32EF">
              <w:rPr>
                <w:rFonts w:ascii="Times New Roman" w:hAnsi="Times New Roman"/>
                <w:b/>
                <w:sz w:val="18"/>
                <w:szCs w:val="18"/>
              </w:rPr>
              <w:t>Details (e.g. how to calculate delta-MCS) are up to further working group discussions.</w:t>
            </w:r>
          </w:p>
          <w:p w14:paraId="71E26FA2" w14:textId="53AFF17B" w:rsidR="006F2B21" w:rsidRPr="00DD32EF" w:rsidRDefault="006F2B21" w:rsidP="00DD32EF">
            <w:pPr>
              <w:pStyle w:val="Doc"/>
              <w:ind w:firstLine="180"/>
              <w:rPr>
                <w:sz w:val="18"/>
                <w:szCs w:val="18"/>
              </w:rPr>
            </w:pPr>
            <w:r w:rsidRPr="00DD32EF">
              <w:rPr>
                <w:sz w:val="18"/>
                <w:szCs w:val="18"/>
              </w:rPr>
              <w:t>In RP-211297:</w:t>
            </w:r>
          </w:p>
          <w:p w14:paraId="32B55D5A" w14:textId="77777777" w:rsidR="006F2B21" w:rsidRPr="00DD32EF" w:rsidRDefault="006F2B21" w:rsidP="00DD32EF">
            <w:pPr>
              <w:ind w:left="0" w:firstLine="0"/>
              <w:rPr>
                <w:b/>
                <w:bCs/>
                <w:i/>
                <w:iCs/>
                <w:sz w:val="18"/>
                <w:szCs w:val="18"/>
              </w:rPr>
            </w:pPr>
            <w:r w:rsidRPr="00DD32EF">
              <w:rPr>
                <w:b/>
                <w:bCs/>
                <w:i/>
                <w:iCs/>
                <w:sz w:val="18"/>
                <w:szCs w:val="18"/>
              </w:rPr>
              <w:t>Proposal: RAN confirms the following as a guidance to RAN1 for CSI enhancement in Enhanced URLLC/IIoT WI:</w:t>
            </w:r>
          </w:p>
          <w:p w14:paraId="72CB17E4" w14:textId="77777777" w:rsidR="006F2B21" w:rsidRPr="00DD32EF" w:rsidRDefault="006F2B21" w:rsidP="00DD32EF">
            <w:pPr>
              <w:ind w:left="0" w:firstLine="0"/>
              <w:rPr>
                <w:b/>
                <w:bCs/>
                <w:i/>
                <w:iCs/>
                <w:sz w:val="18"/>
                <w:szCs w:val="18"/>
              </w:rPr>
            </w:pPr>
            <w:r w:rsidRPr="00DD32EF">
              <w:rPr>
                <w:b/>
                <w:bCs/>
                <w:i/>
                <w:iCs/>
                <w:sz w:val="18"/>
                <w:szCs w:val="18"/>
              </w:rPr>
              <w:t>RAN1 to further investigate the following for CSI enhancements for IIoT/URLLC:</w:t>
            </w:r>
          </w:p>
          <w:p w14:paraId="746069A1" w14:textId="77777777" w:rsidR="006F2B21" w:rsidRPr="00DD32EF" w:rsidRDefault="006F2B21" w:rsidP="006F2B21">
            <w:pPr>
              <w:pStyle w:val="ac"/>
              <w:widowControl w:val="0"/>
              <w:numPr>
                <w:ilvl w:val="0"/>
                <w:numId w:val="34"/>
              </w:numPr>
              <w:spacing w:before="0" w:after="160" w:line="252" w:lineRule="auto"/>
              <w:ind w:leftChars="0"/>
              <w:rPr>
                <w:rFonts w:ascii="Times New Roman" w:hAnsi="Times New Roman"/>
                <w:b/>
                <w:bCs/>
                <w:i/>
                <w:iCs/>
                <w:sz w:val="18"/>
                <w:szCs w:val="18"/>
              </w:rPr>
            </w:pPr>
            <w:r w:rsidRPr="00DD32EF">
              <w:rPr>
                <w:rFonts w:ascii="Times New Roman" w:hAnsi="Times New Roman"/>
                <w:b/>
                <w:bCs/>
                <w:i/>
                <w:iCs/>
                <w:sz w:val="18"/>
                <w:szCs w:val="18"/>
              </w:rPr>
              <w:t>Increasing the number of bits used for the reported subband CQI (3-bits differential subband CQI or 4-bits CQI)</w:t>
            </w:r>
          </w:p>
          <w:p w14:paraId="31C14398" w14:textId="77777777" w:rsidR="006F2B21" w:rsidRPr="00DD32EF" w:rsidRDefault="006F2B21" w:rsidP="006F2B21">
            <w:pPr>
              <w:pStyle w:val="ac"/>
              <w:widowControl w:val="0"/>
              <w:numPr>
                <w:ilvl w:val="0"/>
                <w:numId w:val="34"/>
              </w:numPr>
              <w:spacing w:before="0" w:after="160" w:line="252" w:lineRule="auto"/>
              <w:ind w:leftChars="0"/>
              <w:rPr>
                <w:rFonts w:ascii="Times New Roman" w:hAnsi="Times New Roman"/>
                <w:b/>
                <w:bCs/>
                <w:i/>
                <w:iCs/>
                <w:sz w:val="18"/>
                <w:szCs w:val="18"/>
              </w:rPr>
            </w:pPr>
            <w:r w:rsidRPr="00DD32EF">
              <w:rPr>
                <w:rFonts w:ascii="Times New Roman" w:hAnsi="Times New Roman"/>
                <w:b/>
                <w:bCs/>
                <w:i/>
                <w:iCs/>
                <w:sz w:val="18"/>
                <w:szCs w:val="18"/>
              </w:rPr>
              <w:t>Reporting of delta-MCS:</w:t>
            </w:r>
          </w:p>
          <w:p w14:paraId="5E4AECAB" w14:textId="77777777" w:rsidR="006F2B21" w:rsidRPr="00DD32EF" w:rsidRDefault="006F2B21" w:rsidP="006F2B21">
            <w:pPr>
              <w:pStyle w:val="ac"/>
              <w:widowControl w:val="0"/>
              <w:numPr>
                <w:ilvl w:val="1"/>
                <w:numId w:val="34"/>
              </w:numPr>
              <w:spacing w:before="0" w:after="160" w:line="252" w:lineRule="auto"/>
              <w:ind w:leftChars="0"/>
              <w:rPr>
                <w:rFonts w:ascii="Times New Roman" w:hAnsi="Times New Roman"/>
                <w:b/>
                <w:bCs/>
                <w:i/>
                <w:iCs/>
                <w:sz w:val="18"/>
                <w:szCs w:val="18"/>
              </w:rPr>
            </w:pPr>
            <w:r w:rsidRPr="00DD32EF">
              <w:rPr>
                <w:rFonts w:ascii="Times New Roman" w:hAnsi="Times New Roman"/>
                <w:b/>
                <w:bCs/>
                <w:i/>
                <w:iCs/>
                <w:sz w:val="18"/>
                <w:szCs w:val="18"/>
              </w:rPr>
              <w:t>Report consists of delta-MCS for a TB received with MCS index I</w:t>
            </w:r>
            <w:r w:rsidRPr="00DD32EF">
              <w:rPr>
                <w:rFonts w:ascii="Times New Roman" w:hAnsi="Times New Roman"/>
                <w:b/>
                <w:bCs/>
                <w:i/>
                <w:iCs/>
                <w:sz w:val="18"/>
                <w:szCs w:val="18"/>
                <w:vertAlign w:val="subscript"/>
              </w:rPr>
              <w:t>MCS</w:t>
            </w:r>
            <w:r w:rsidRPr="00DD32EF">
              <w:rPr>
                <w:rFonts w:ascii="Times New Roman" w:hAnsi="Times New Roman"/>
                <w:b/>
                <w:bCs/>
                <w:i/>
                <w:iCs/>
                <w:sz w:val="18"/>
                <w:szCs w:val="18"/>
              </w:rPr>
              <w:t>:</w:t>
            </w:r>
          </w:p>
          <w:p w14:paraId="7B663CC6" w14:textId="77777777" w:rsidR="006F2B21" w:rsidRPr="00DD32EF" w:rsidRDefault="006F2B21" w:rsidP="006F2B21">
            <w:pPr>
              <w:pStyle w:val="ac"/>
              <w:widowControl w:val="0"/>
              <w:numPr>
                <w:ilvl w:val="2"/>
                <w:numId w:val="34"/>
              </w:numPr>
              <w:spacing w:before="0" w:after="160" w:line="252" w:lineRule="auto"/>
              <w:ind w:leftChars="0"/>
              <w:rPr>
                <w:rFonts w:ascii="Times New Roman" w:hAnsi="Times New Roman"/>
                <w:b/>
                <w:bCs/>
                <w:i/>
                <w:iCs/>
                <w:sz w:val="18"/>
                <w:szCs w:val="18"/>
              </w:rPr>
            </w:pPr>
            <w:r w:rsidRPr="00DD32EF">
              <w:rPr>
                <w:rFonts w:ascii="Times New Roman" w:hAnsi="Times New Roman"/>
                <w:b/>
                <w:bCs/>
                <w:i/>
                <w:iCs/>
                <w:sz w:val="18"/>
                <w:szCs w:val="18"/>
              </w:rPr>
              <w:t>delta-MCS is calculated from the difference between I</w:t>
            </w:r>
            <w:r w:rsidRPr="00DD32EF">
              <w:rPr>
                <w:rFonts w:ascii="Times New Roman" w:hAnsi="Times New Roman"/>
                <w:b/>
                <w:bCs/>
                <w:i/>
                <w:iCs/>
                <w:sz w:val="18"/>
                <w:szCs w:val="18"/>
                <w:vertAlign w:val="subscript"/>
              </w:rPr>
              <w:t>MCS_tgt</w:t>
            </w:r>
            <w:r w:rsidRPr="00DD32EF">
              <w:rPr>
                <w:rFonts w:ascii="Times New Roman" w:hAnsi="Times New Roman"/>
                <w:b/>
                <w:bCs/>
                <w:i/>
                <w:iCs/>
                <w:sz w:val="18"/>
                <w:szCs w:val="18"/>
              </w:rPr>
              <w:t xml:space="preserve"> and I</w:t>
            </w:r>
            <w:r w:rsidRPr="00DD32EF">
              <w:rPr>
                <w:rFonts w:ascii="Times New Roman" w:hAnsi="Times New Roman"/>
                <w:b/>
                <w:bCs/>
                <w:i/>
                <w:iCs/>
                <w:sz w:val="18"/>
                <w:szCs w:val="18"/>
                <w:vertAlign w:val="subscript"/>
              </w:rPr>
              <w:t>MCS</w:t>
            </w:r>
            <w:r w:rsidRPr="00DD32EF">
              <w:rPr>
                <w:rFonts w:ascii="Times New Roman" w:hAnsi="Times New Roman"/>
                <w:b/>
                <w:bCs/>
                <w:i/>
                <w:iCs/>
                <w:sz w:val="18"/>
                <w:szCs w:val="18"/>
              </w:rPr>
              <w:t>, where I</w:t>
            </w:r>
            <w:r w:rsidRPr="00DD32EF">
              <w:rPr>
                <w:rFonts w:ascii="Times New Roman" w:hAnsi="Times New Roman"/>
                <w:b/>
                <w:bCs/>
                <w:i/>
                <w:iCs/>
                <w:sz w:val="18"/>
                <w:szCs w:val="18"/>
                <w:vertAlign w:val="subscript"/>
              </w:rPr>
              <w:t>MCS_tgt</w:t>
            </w:r>
            <w:r w:rsidRPr="00DD32EF">
              <w:rPr>
                <w:rFonts w:ascii="Times New Roman" w:hAnsi="Times New Roman"/>
                <w:b/>
                <w:bCs/>
                <w:i/>
                <w:iCs/>
                <w:sz w:val="18"/>
                <w:szCs w:val="18"/>
              </w:rPr>
              <w:t xml:space="preserve"> is the largest MCS index such that the estimated BLER for a TB received with this MCS index would be smaller than or equal to a BLER target, and I</w:t>
            </w:r>
            <w:r w:rsidRPr="00DD32EF">
              <w:rPr>
                <w:rFonts w:ascii="Times New Roman" w:hAnsi="Times New Roman"/>
                <w:b/>
                <w:bCs/>
                <w:i/>
                <w:iCs/>
                <w:sz w:val="18"/>
                <w:szCs w:val="18"/>
                <w:vertAlign w:val="subscript"/>
              </w:rPr>
              <w:t>MCS</w:t>
            </w:r>
            <w:r w:rsidRPr="00DD32EF">
              <w:rPr>
                <w:rFonts w:ascii="Times New Roman" w:hAnsi="Times New Roman"/>
                <w:b/>
                <w:bCs/>
                <w:i/>
                <w:iCs/>
                <w:sz w:val="18"/>
                <w:szCs w:val="18"/>
              </w:rPr>
              <w:t xml:space="preserve"> is the MCS index of the received TB.</w:t>
            </w:r>
          </w:p>
          <w:p w14:paraId="73C77A20" w14:textId="499156A8" w:rsidR="00994829" w:rsidRPr="00F51D6E" w:rsidRDefault="00994829" w:rsidP="00DD32EF">
            <w:pPr>
              <w:pStyle w:val="Doc"/>
              <w:ind w:firstLineChars="0" w:firstLine="0"/>
            </w:pPr>
          </w:p>
        </w:tc>
      </w:tr>
    </w:tbl>
    <w:p w14:paraId="5015C2B0" w14:textId="3F9C57EE" w:rsidR="003C7E97" w:rsidRDefault="00424023"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Based on the above </w:t>
      </w:r>
      <w:r w:rsidR="007F2039">
        <w:rPr>
          <w:rFonts w:eastAsia="바탕"/>
          <w:sz w:val="22"/>
          <w:szCs w:val="22"/>
          <w:lang w:eastAsia="ko-KR"/>
        </w:rPr>
        <w:t>guidance</w:t>
      </w:r>
      <w:r w:rsidR="006B4AEE">
        <w:rPr>
          <w:rFonts w:eastAsia="바탕"/>
          <w:sz w:val="22"/>
          <w:szCs w:val="22"/>
          <w:lang w:eastAsia="ko-KR"/>
        </w:rPr>
        <w:t xml:space="preserve">,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13A31">
        <w:rPr>
          <w:rFonts w:eastAsia="바탕"/>
          <w:bCs/>
          <w:sz w:val="22"/>
          <w:szCs w:val="22"/>
          <w:lang w:val="en-US" w:eastAsia="ko-KR"/>
        </w:rPr>
        <w:t>potential</w:t>
      </w:r>
      <w:r w:rsidR="00B5459C">
        <w:rPr>
          <w:rFonts w:eastAsia="바탕"/>
          <w:bCs/>
          <w:sz w:val="22"/>
          <w:szCs w:val="22"/>
          <w:lang w:val="en-US" w:eastAsia="ko-KR"/>
        </w:rPr>
        <w:t xml:space="preserve"> </w:t>
      </w:r>
      <w:r w:rsidR="00D13A31">
        <w:rPr>
          <w:rFonts w:eastAsia="바탕"/>
          <w:bCs/>
          <w:sz w:val="22"/>
          <w:szCs w:val="22"/>
          <w:lang w:val="en-US" w:eastAsia="ko-KR"/>
        </w:rPr>
        <w:t xml:space="preserve">enhancements </w:t>
      </w:r>
      <w:r w:rsidR="00B5459C">
        <w:rPr>
          <w:rFonts w:eastAsia="바탕"/>
          <w:bCs/>
          <w:sz w:val="22"/>
          <w:szCs w:val="22"/>
          <w:lang w:val="en-US" w:eastAsia="ko-KR"/>
        </w:rPr>
        <w:t xml:space="preserve">of </w:t>
      </w:r>
      <w:r w:rsidR="00B5459C" w:rsidRPr="00D21C51">
        <w:rPr>
          <w:rFonts w:eastAsia="바탕"/>
          <w:bCs/>
          <w:sz w:val="22"/>
          <w:szCs w:val="22"/>
          <w:lang w:val="en-US" w:eastAsia="ko-KR"/>
        </w:rPr>
        <w:t xml:space="preserve">CSI feedback for </w:t>
      </w:r>
      <w:r w:rsidR="00C6061C" w:rsidRPr="00D21C51">
        <w:rPr>
          <w:rFonts w:eastAsia="바탕"/>
          <w:bCs/>
          <w:sz w:val="22"/>
          <w:szCs w:val="22"/>
          <w:lang w:val="en-US" w:eastAsia="ko-KR"/>
        </w:rPr>
        <w:t>support</w:t>
      </w:r>
      <w:r w:rsidR="00192C2A" w:rsidRPr="00D21C51">
        <w:rPr>
          <w:rFonts w:eastAsia="바탕"/>
          <w:bCs/>
          <w:sz w:val="22"/>
          <w:szCs w:val="22"/>
          <w:lang w:val="en-US" w:eastAsia="ko-KR"/>
        </w:rPr>
        <w:t>ing</w:t>
      </w:r>
      <w:r w:rsidR="00C6061C" w:rsidRPr="00D21C51">
        <w:rPr>
          <w:rFonts w:eastAsia="바탕"/>
          <w:bCs/>
          <w:sz w:val="22"/>
          <w:szCs w:val="22"/>
          <w:lang w:val="en-US" w:eastAsia="ko-KR"/>
        </w:rPr>
        <w:t xml:space="preserve"> </w:t>
      </w:r>
      <w:r w:rsidR="00B5459C" w:rsidRPr="00D21C51">
        <w:rPr>
          <w:rFonts w:eastAsia="바탕"/>
          <w:bCs/>
          <w:sz w:val="22"/>
          <w:szCs w:val="22"/>
          <w:lang w:val="en-US" w:eastAsia="ko-KR"/>
        </w:rPr>
        <w:t>URLLC</w:t>
      </w:r>
      <w:r w:rsidR="003C7E97">
        <w:rPr>
          <w:rFonts w:eastAsia="바탕"/>
          <w:bCs/>
          <w:sz w:val="22"/>
          <w:szCs w:val="22"/>
          <w:lang w:val="en-US" w:eastAsia="ko-KR"/>
        </w:rPr>
        <w:t xml:space="preserve">, including opinions on </w:t>
      </w:r>
      <w:r w:rsidR="007F2039">
        <w:rPr>
          <w:rFonts w:eastAsia="바탕"/>
          <w:bCs/>
          <w:sz w:val="22"/>
          <w:szCs w:val="22"/>
          <w:lang w:val="en-US" w:eastAsia="ko-KR"/>
        </w:rPr>
        <w:t xml:space="preserve">extended CQI bit range and delta-MCS reporting. </w:t>
      </w:r>
    </w:p>
    <w:p w14:paraId="6C3B473B" w14:textId="712B8783" w:rsidR="00994829" w:rsidRDefault="00994829" w:rsidP="00691F7F">
      <w:pPr>
        <w:spacing w:before="120" w:after="120" w:line="240" w:lineRule="auto"/>
        <w:ind w:left="0" w:firstLine="0"/>
        <w:rPr>
          <w:rFonts w:eastAsia="바탕"/>
          <w:bCs/>
          <w:sz w:val="22"/>
          <w:szCs w:val="22"/>
          <w:lang w:val="en-US" w:eastAsia="ko-KR"/>
        </w:rPr>
      </w:pPr>
    </w:p>
    <w:p w14:paraId="6373414F" w14:textId="77777777" w:rsidR="00993C5F" w:rsidRDefault="00B5459C">
      <w:pPr>
        <w:pStyle w:val="1"/>
        <w:numPr>
          <w:ilvl w:val="0"/>
          <w:numId w:val="1"/>
        </w:numPr>
      </w:pPr>
      <w:r>
        <w:lastRenderedPageBreak/>
        <w:t>Discussion</w:t>
      </w:r>
    </w:p>
    <w:p w14:paraId="579D67D6" w14:textId="5681B7A9" w:rsidR="00AA1AE8" w:rsidRDefault="003C7E97">
      <w:pPr>
        <w:pStyle w:val="1"/>
      </w:pPr>
      <w:r>
        <w:t>New</w:t>
      </w:r>
      <w:r w:rsidR="00AA1AE8" w:rsidRPr="00AA1AE8">
        <w:t xml:space="preserve"> triggering method for A-CSI on PUCCH </w:t>
      </w:r>
    </w:p>
    <w:p w14:paraId="01167FDA" w14:textId="52ACE022" w:rsidR="00AA1AE8" w:rsidRDefault="00AA1AE8" w:rsidP="00DC318D">
      <w:pPr>
        <w:pStyle w:val="Doc"/>
        <w:rPr>
          <w:rFonts w:eastAsiaTheme="minorEastAsia"/>
        </w:rPr>
      </w:pPr>
      <w:r>
        <w:rPr>
          <w:rFonts w:hint="eastAsia"/>
        </w:rPr>
        <w:t>Regarding A-CSI on PUCCH</w:t>
      </w:r>
      <w:r>
        <w:t xml:space="preserve"> </w:t>
      </w:r>
      <w:r w:rsidR="00E74AAE">
        <w:t>by</w:t>
      </w:r>
      <w:r>
        <w:t xml:space="preserve"> DL DCI</w:t>
      </w:r>
      <w:r w:rsidR="008B737E">
        <w:t xml:space="preserve"> triggering</w:t>
      </w:r>
      <w:r>
        <w:rPr>
          <w:rFonts w:hint="eastAsia"/>
        </w:rPr>
        <w:t>,</w:t>
      </w:r>
      <w:r>
        <w:t xml:space="preserve"> the main issue is how to trigger CSI reporting. Considering the scope of URLLC WI, the goal should be </w:t>
      </w:r>
      <w:r>
        <w:rPr>
          <w:rFonts w:eastAsiaTheme="minorEastAsia"/>
        </w:rPr>
        <w:t xml:space="preserve">CSI and MCS accuracy for URLLC reliability enhancement. However, if UE perform same measurement for CSI and report same content structure regardless of CSI triggering method, the performance must be same as existing triggering method. </w:t>
      </w:r>
    </w:p>
    <w:p w14:paraId="57338677" w14:textId="2F784B5F" w:rsidR="00AA1AE8" w:rsidRPr="00DC318D" w:rsidRDefault="00AA1AE8" w:rsidP="00DC318D">
      <w:pPr>
        <w:pStyle w:val="Doc"/>
        <w:rPr>
          <w:rFonts w:eastAsiaTheme="minorEastAsia"/>
        </w:rPr>
      </w:pPr>
      <w:r>
        <w:rPr>
          <w:rFonts w:eastAsiaTheme="minorEastAsia"/>
        </w:rPr>
        <w:t xml:space="preserve">The beneficial point of A-CSI on PUCCH via DL DCI, is to save PDCCH overhead. Thus, the enhanced MCS accuracy can be achieved </w:t>
      </w:r>
      <w:r w:rsidR="00105A8A">
        <w:rPr>
          <w:rFonts w:eastAsiaTheme="minorEastAsia"/>
        </w:rPr>
        <w:t xml:space="preserve">only </w:t>
      </w:r>
      <w:r>
        <w:rPr>
          <w:rFonts w:eastAsiaTheme="minorEastAsia"/>
        </w:rPr>
        <w:t xml:space="preserve">by frequent A-CSI reporting thanks to low PDCCH overhead. However, it would not </w:t>
      </w:r>
      <w:r w:rsidR="00E74AAE">
        <w:rPr>
          <w:rFonts w:eastAsiaTheme="minorEastAsia"/>
        </w:rPr>
        <w:t>be</w:t>
      </w:r>
      <w:r>
        <w:rPr>
          <w:rFonts w:eastAsiaTheme="minorEastAsia"/>
        </w:rPr>
        <w:t xml:space="preserve"> straightforward </w:t>
      </w:r>
      <w:r w:rsidR="00736234">
        <w:rPr>
          <w:rFonts w:eastAsiaTheme="minorEastAsia"/>
        </w:rPr>
        <w:t>due to limited UL resource and complicated timeline with other URLLC transmission. Moreover, if two or more A-CSI PUCCH is required to achieve</w:t>
      </w:r>
      <w:r w:rsidR="008B737E">
        <w:rPr>
          <w:rFonts w:eastAsiaTheme="minorEastAsia"/>
        </w:rPr>
        <w:t xml:space="preserve"> the higher performance for a period, it may not have much difference between SP-CSI on PUCCH. Since SP-CSI could support multiple CSI reporting for a period via only two DCI, activation and release. </w:t>
      </w:r>
    </w:p>
    <w:p w14:paraId="0438F8DC" w14:textId="68053AB2" w:rsidR="008B737E" w:rsidRDefault="008B737E" w:rsidP="008B737E">
      <w:pPr>
        <w:pStyle w:val="Proposal"/>
      </w:pPr>
      <w:r>
        <w:rPr>
          <w:rFonts w:hint="eastAsia"/>
        </w:rPr>
        <w:t>Proposal #1</w:t>
      </w:r>
      <w:r w:rsidR="00BB570D">
        <w:t>:</w:t>
      </w:r>
      <w:r>
        <w:t xml:space="preserve"> Do not support A-CSI on PUCCH by DL DCI</w:t>
      </w:r>
      <w:r w:rsidR="00E74AAE">
        <w:t xml:space="preserve"> triggering</w:t>
      </w:r>
      <w:r>
        <w:t>.</w:t>
      </w:r>
    </w:p>
    <w:p w14:paraId="18AFBC48" w14:textId="77777777" w:rsidR="00AA1AE8" w:rsidRPr="00E74AAE" w:rsidRDefault="00AA1AE8" w:rsidP="00DC318D">
      <w:pPr>
        <w:pStyle w:val="Proposal"/>
      </w:pPr>
    </w:p>
    <w:p w14:paraId="28D6DE04" w14:textId="75B3457F" w:rsidR="00BB570D" w:rsidRDefault="007F2039">
      <w:pPr>
        <w:pStyle w:val="1"/>
      </w:pPr>
      <w:r>
        <w:t>Extended subband CQI range</w:t>
      </w:r>
    </w:p>
    <w:p w14:paraId="4FB176BB" w14:textId="04F58DA5" w:rsidR="007F2039" w:rsidRDefault="007F2039" w:rsidP="00DD32EF">
      <w:pPr>
        <w:pStyle w:val="Doc"/>
      </w:pPr>
      <w:r>
        <w:t>From RAN guidance, it is agreed to further investigate i</w:t>
      </w:r>
      <w:r w:rsidRPr="007F2039">
        <w:t>ncreasing the number of bits used for the reported subband CQ</w:t>
      </w:r>
      <w:r>
        <w:t xml:space="preserve">I (hereafter referred to as ‘eCQI’).  </w:t>
      </w:r>
    </w:p>
    <w:p w14:paraId="6BB01178" w14:textId="0089B753" w:rsidR="007F2039" w:rsidRDefault="007F2039" w:rsidP="00DD32EF">
      <w:pPr>
        <w:pStyle w:val="Doc"/>
      </w:pPr>
      <w:r>
        <w:t>One main drawback of eCQI is CSI overhead. Even with 3bit differential CQI is used, CQI overhead become 1.5 times larger than in Release 16. If 4bit full CQI is used, CQI overhead is doubled. Considering CSI are multiplexed with HARQ-ACK, SR or other CSI, it is necessary to investigate any solution to alleviate CSI overhead due to eCQI.</w:t>
      </w:r>
    </w:p>
    <w:p w14:paraId="25712448" w14:textId="3C51CD94" w:rsidR="007F2039" w:rsidRDefault="008127B7" w:rsidP="00DD32EF">
      <w:pPr>
        <w:pStyle w:val="Proposal"/>
      </w:pPr>
      <w:r>
        <w:rPr>
          <w:rFonts w:hint="eastAsia"/>
        </w:rPr>
        <w:t>Proposal</w:t>
      </w:r>
      <w:r>
        <w:t xml:space="preserve"> #2</w:t>
      </w:r>
      <w:r>
        <w:rPr>
          <w:rFonts w:hint="eastAsia"/>
        </w:rPr>
        <w:t xml:space="preserve">: It </w:t>
      </w:r>
      <w:r>
        <w:t xml:space="preserve">needs further consideration on how </w:t>
      </w:r>
      <w:r w:rsidR="007F2039">
        <w:rPr>
          <w:rFonts w:hint="eastAsia"/>
        </w:rPr>
        <w:t xml:space="preserve">to </w:t>
      </w:r>
      <w:r w:rsidR="007F2039">
        <w:t xml:space="preserve">alleviate </w:t>
      </w:r>
      <w:r>
        <w:rPr>
          <w:rFonts w:hint="eastAsia"/>
        </w:rPr>
        <w:t>CSI overhead, in order to support incre</w:t>
      </w:r>
      <w:r>
        <w:t xml:space="preserve">ased number bits for sub-band CQI. </w:t>
      </w:r>
    </w:p>
    <w:p w14:paraId="10027310" w14:textId="77777777" w:rsidR="008127B7" w:rsidRDefault="008127B7" w:rsidP="00DD32EF">
      <w:pPr>
        <w:pStyle w:val="Proposal"/>
      </w:pPr>
    </w:p>
    <w:p w14:paraId="08C5DCDA" w14:textId="5A5EF2CA" w:rsidR="003204DE" w:rsidRDefault="008127B7" w:rsidP="00DD32EF">
      <w:pPr>
        <w:pStyle w:val="Doc"/>
      </w:pPr>
      <w:r>
        <w:rPr>
          <w:rFonts w:hint="eastAsia"/>
        </w:rPr>
        <w:t>Considering eCQI is only useful when estimated CQI is out of</w:t>
      </w:r>
      <w:r>
        <w:t xml:space="preserve"> </w:t>
      </w:r>
      <w:r>
        <w:rPr>
          <w:rFonts w:hint="eastAsia"/>
        </w:rPr>
        <w:t xml:space="preserve">range </w:t>
      </w:r>
      <w:r>
        <w:t xml:space="preserve">of legacy differential CQI, it can be considered for UE to choose </w:t>
      </w:r>
      <w:r>
        <w:rPr>
          <w:rFonts w:hint="eastAsia"/>
        </w:rPr>
        <w:t xml:space="preserve">whether to enable or disable eCQI based on its channel estimation. </w:t>
      </w:r>
      <w:r w:rsidR="003204DE">
        <w:t xml:space="preserve">If eCQI is disabled or enabled arbitrarily by UE, there could be an ambiguity on CSI payload sizes. In order to address this ambiguity, two parts of CSI in release 16 can be used. In Release 16, CSI Part 1 has fixed size based o RRC configuration so UE can report CSI part 1 without ambiguity. If UE include a size of sub-band CQI table used in CSI part 1 and multiplexing sub-band CQI into CSI part 2, gNB can receive bit sequence of sub-band CQI and could interpret with UE-selected sub-band CQI range. </w:t>
      </w:r>
    </w:p>
    <w:p w14:paraId="389645F2" w14:textId="49BABB24" w:rsidR="008127B7" w:rsidRDefault="008127B7" w:rsidP="00DD32EF">
      <w:pPr>
        <w:pStyle w:val="Proposal"/>
      </w:pPr>
      <w:r>
        <w:rPr>
          <w:rFonts w:hint="eastAsia"/>
        </w:rPr>
        <w:t>Proposal #3: It can be co</w:t>
      </w:r>
      <w:r w:rsidR="003204DE">
        <w:t xml:space="preserve">nsidered that UE adjust CQI overhead by disabling eCQI based on its channel estimation. </w:t>
      </w:r>
    </w:p>
    <w:p w14:paraId="69F58A72" w14:textId="77777777" w:rsidR="003204DE" w:rsidRPr="00DD32EF" w:rsidRDefault="003204DE" w:rsidP="00DD32EF">
      <w:pPr>
        <w:pStyle w:val="Proposal"/>
      </w:pPr>
    </w:p>
    <w:p w14:paraId="05D6F813" w14:textId="0F051F12" w:rsidR="00BB570D" w:rsidRDefault="00EA58E5">
      <w:pPr>
        <w:pStyle w:val="1"/>
      </w:pPr>
      <w:r w:rsidRPr="00EA58E5">
        <w:lastRenderedPageBreak/>
        <w:t xml:space="preserve">Delta-CQI/MCS </w:t>
      </w:r>
      <w:r w:rsidR="00BB570D">
        <w:t>reporting</w:t>
      </w:r>
      <w:r>
        <w:t xml:space="preserve"> </w:t>
      </w:r>
    </w:p>
    <w:p w14:paraId="6E456279" w14:textId="2B7412E6" w:rsidR="00EA58E5" w:rsidRDefault="00EA58E5" w:rsidP="00DC318D">
      <w:pPr>
        <w:pStyle w:val="Doc"/>
      </w:pPr>
      <w:r>
        <w:rPr>
          <w:rFonts w:hint="eastAsia"/>
        </w:rPr>
        <w:t xml:space="preserve">For the delta-MCS reporting scheme, there are </w:t>
      </w:r>
      <w:r>
        <w:t>some</w:t>
      </w:r>
      <w:r>
        <w:rPr>
          <w:rFonts w:hint="eastAsia"/>
        </w:rPr>
        <w:t xml:space="preserve"> discussion point</w:t>
      </w:r>
      <w:r w:rsidR="001A63F2">
        <w:t>s</w:t>
      </w:r>
      <w:r>
        <w:rPr>
          <w:rFonts w:hint="eastAsia"/>
        </w:rPr>
        <w:t xml:space="preserve">. </w:t>
      </w:r>
    </w:p>
    <w:p w14:paraId="0723741B" w14:textId="77777777" w:rsidR="002F1EF9" w:rsidRDefault="002F1EF9" w:rsidP="002F1EF9">
      <w:pPr>
        <w:pStyle w:val="Doc"/>
        <w:numPr>
          <w:ilvl w:val="0"/>
          <w:numId w:val="40"/>
        </w:numPr>
        <w:ind w:firstLineChars="0"/>
      </w:pPr>
      <w:r>
        <w:t>How to determine PUCCH resource for this scheme</w:t>
      </w:r>
    </w:p>
    <w:p w14:paraId="16B7675E" w14:textId="073FC985" w:rsidR="00EA58E5" w:rsidRDefault="00EA58E5" w:rsidP="00691F7F">
      <w:pPr>
        <w:pStyle w:val="Doc"/>
        <w:numPr>
          <w:ilvl w:val="0"/>
          <w:numId w:val="40"/>
        </w:numPr>
        <w:ind w:firstLineChars="0"/>
      </w:pPr>
      <w:r>
        <w:rPr>
          <w:rFonts w:hint="eastAsia"/>
        </w:rPr>
        <w:t xml:space="preserve">What would be </w:t>
      </w:r>
      <w:r>
        <w:t>a reference PDSCH for this scheme</w:t>
      </w:r>
    </w:p>
    <w:p w14:paraId="2E4E0D82" w14:textId="198BBE3A" w:rsidR="003F3D73" w:rsidRDefault="003F3D73" w:rsidP="00691F7F">
      <w:pPr>
        <w:pStyle w:val="Doc"/>
        <w:numPr>
          <w:ilvl w:val="0"/>
          <w:numId w:val="40"/>
        </w:numPr>
        <w:ind w:firstLineChars="0"/>
      </w:pPr>
      <w:r>
        <w:t xml:space="preserve">How to represent delta-MCS in bit representation </w:t>
      </w:r>
    </w:p>
    <w:p w14:paraId="5548F64B" w14:textId="77777777" w:rsidR="002F1EF9" w:rsidRPr="002F1EF9" w:rsidRDefault="002F1EF9" w:rsidP="00DC318D">
      <w:pPr>
        <w:pStyle w:val="Doc"/>
      </w:pPr>
    </w:p>
    <w:p w14:paraId="070886EC" w14:textId="1DF917C7" w:rsidR="002F1EF9" w:rsidRPr="00487D0C" w:rsidRDefault="002F1EF9" w:rsidP="002F1EF9">
      <w:pPr>
        <w:pStyle w:val="Doc"/>
      </w:pPr>
      <w:r>
        <w:rPr>
          <w:rFonts w:hint="eastAsia"/>
        </w:rPr>
        <w:t xml:space="preserve">In general, it would be natural to </w:t>
      </w:r>
      <w:r>
        <w:t>take</w:t>
      </w:r>
      <w:r>
        <w:rPr>
          <w:rFonts w:hint="eastAsia"/>
        </w:rPr>
        <w:t xml:space="preserve"> cur</w:t>
      </w:r>
      <w:r>
        <w:t>rent CSI frameworks as baseline. For example, PUCCH resource configuration for P-CSI on PUCCH can be re-used for delta-CQI/MCS reporting. When PDSCH is scheduled with triggering of delta-CQI</w:t>
      </w:r>
      <w:r w:rsidR="00637BED">
        <w:t>/MCS reporting, UE may choose a</w:t>
      </w:r>
      <w:r>
        <w:t xml:space="preserve"> PUCCH resource satisfying CSI computation timeline, among periodic PUCCH resources which is configured for the CSI reporting. </w:t>
      </w:r>
    </w:p>
    <w:p w14:paraId="56D8A80A" w14:textId="1F05DE2B" w:rsidR="002F1EF9" w:rsidRDefault="002F1EF9" w:rsidP="002F1EF9">
      <w:pPr>
        <w:pStyle w:val="Proposal"/>
      </w:pPr>
      <w:r>
        <w:rPr>
          <w:rFonts w:hint="eastAsia"/>
        </w:rPr>
        <w:t>Proposal #</w:t>
      </w:r>
      <w:r w:rsidR="008B63A4">
        <w:t>4</w:t>
      </w:r>
      <w:r>
        <w:rPr>
          <w:rFonts w:hint="eastAsia"/>
        </w:rPr>
        <w:t xml:space="preserve">: </w:t>
      </w:r>
      <w:r>
        <w:t xml:space="preserve">For delta-CQI/MCS reporting, existing PUCCH resource allocation method for P-CSI on PUCCH can be re-used. </w:t>
      </w:r>
    </w:p>
    <w:p w14:paraId="7EA729F9" w14:textId="7AF79CDA" w:rsidR="002F1EF9" w:rsidRDefault="002F1EF9" w:rsidP="00691F7F">
      <w:pPr>
        <w:pStyle w:val="Proposal"/>
        <w:numPr>
          <w:ilvl w:val="0"/>
          <w:numId w:val="41"/>
        </w:numPr>
        <w:ind w:firstLineChars="0"/>
      </w:pPr>
      <w:r w:rsidRPr="002F1EF9">
        <w:t xml:space="preserve">When PDSCH is scheduled with triggering of delta-CQI/MCS reporting, UE may choose a PUCCH </w:t>
      </w:r>
      <w:r w:rsidR="00637BED" w:rsidRPr="002F1EF9">
        <w:t>resource</w:t>
      </w:r>
      <w:r w:rsidR="00637BED">
        <w:t xml:space="preserve"> that satisfies </w:t>
      </w:r>
      <w:r w:rsidR="00637BED" w:rsidRPr="002F1EF9">
        <w:t>CSI computation timeline</w:t>
      </w:r>
      <w:r w:rsidR="00637BED">
        <w:t xml:space="preserve">, </w:t>
      </w:r>
      <w:r w:rsidR="00637BED" w:rsidRPr="002F1EF9">
        <w:t xml:space="preserve">among </w:t>
      </w:r>
      <w:r w:rsidR="00637BED">
        <w:t>configured PUCCH resources.</w:t>
      </w:r>
    </w:p>
    <w:p w14:paraId="6B1D7190" w14:textId="77777777" w:rsidR="002F1EF9" w:rsidRPr="002F1EF9" w:rsidRDefault="002F1EF9" w:rsidP="00DC318D">
      <w:pPr>
        <w:pStyle w:val="Doc"/>
      </w:pPr>
    </w:p>
    <w:p w14:paraId="23860A91" w14:textId="1DEFAE22" w:rsidR="00E109E1" w:rsidRPr="00E74AAE" w:rsidRDefault="0039044B" w:rsidP="00DC318D">
      <w:pPr>
        <w:pStyle w:val="Doc"/>
      </w:pPr>
      <w:r>
        <w:t xml:space="preserve"> </w:t>
      </w:r>
      <w:r w:rsidR="00E109E1">
        <w:t>I</w:t>
      </w:r>
      <w:r w:rsidR="00E109E1">
        <w:rPr>
          <w:rFonts w:hint="eastAsia"/>
        </w:rPr>
        <w:t xml:space="preserve">f </w:t>
      </w:r>
      <w:r w:rsidR="00E109E1">
        <w:t>UE has been scheduled</w:t>
      </w:r>
      <w:r w:rsidR="004F63A3">
        <w:t xml:space="preserve"> with</w:t>
      </w:r>
      <w:r w:rsidR="00E109E1">
        <w:t xml:space="preserve"> multiple PDSCH resource</w:t>
      </w:r>
      <w:r w:rsidR="002F1EF9">
        <w:t xml:space="preserve"> </w:t>
      </w:r>
      <w:r w:rsidR="006F4F6D">
        <w:t>for a</w:t>
      </w:r>
      <w:r w:rsidR="002F1EF9">
        <w:t xml:space="preserve"> CSI reporting occasion</w:t>
      </w:r>
      <w:r w:rsidR="00E109E1">
        <w:t xml:space="preserve">, it is also necessary to define which PDSCH is </w:t>
      </w:r>
      <w:r w:rsidR="00071C66">
        <w:t>considered (e.g. measured) for</w:t>
      </w:r>
      <w:r w:rsidR="00E109E1">
        <w:t xml:space="preserve"> </w:t>
      </w:r>
      <w:r w:rsidR="003F3D73">
        <w:t>delta-MCS</w:t>
      </w:r>
      <w:r w:rsidR="00E109E1">
        <w:t xml:space="preserve"> reporting. Considering CSI procedure, PDSCH should be selected with considerations </w:t>
      </w:r>
      <w:r w:rsidR="00A34916">
        <w:t xml:space="preserve">both </w:t>
      </w:r>
      <w:r w:rsidR="00E109E1">
        <w:t xml:space="preserve">of </w:t>
      </w:r>
      <w:r w:rsidR="00A34916">
        <w:t xml:space="preserve">CSI </w:t>
      </w:r>
      <w:r w:rsidR="00E109E1">
        <w:t xml:space="preserve">PUCCH preparation time and </w:t>
      </w:r>
      <w:r w:rsidR="00A34916">
        <w:t>PDSCH processing time. Otherwise, PDSCH can be picked before CSI triggering in order to guarantee CSI processing time if CSI trigger indicates PUCCH resource which satisfies timeline.</w:t>
      </w:r>
    </w:p>
    <w:p w14:paraId="6850202F" w14:textId="0EF80414" w:rsidR="00A34916" w:rsidRDefault="00A34916" w:rsidP="00A34916">
      <w:pPr>
        <w:pStyle w:val="Proposal"/>
      </w:pPr>
      <w:r>
        <w:rPr>
          <w:rFonts w:hint="eastAsia"/>
        </w:rPr>
        <w:t>Proposal #</w:t>
      </w:r>
      <w:r w:rsidR="008B63A4">
        <w:t>5</w:t>
      </w:r>
      <w:r>
        <w:rPr>
          <w:rFonts w:hint="eastAsia"/>
        </w:rPr>
        <w:t xml:space="preserve">: </w:t>
      </w:r>
      <w:r w:rsidR="004F63A3">
        <w:t>I</w:t>
      </w:r>
      <w:r>
        <w:rPr>
          <w:rFonts w:hint="eastAsia"/>
        </w:rPr>
        <w:t xml:space="preserve">t </w:t>
      </w:r>
      <w:r>
        <w:t xml:space="preserve">is necessary to discuss how UE </w:t>
      </w:r>
      <w:r w:rsidR="004F63A3">
        <w:t xml:space="preserve">determines </w:t>
      </w:r>
      <w:r>
        <w:t xml:space="preserve">PDSCH for </w:t>
      </w:r>
      <w:r w:rsidR="002F1EF9">
        <w:t>delta-CQI/MCS reporting.</w:t>
      </w:r>
    </w:p>
    <w:p w14:paraId="64EF9E2A" w14:textId="77777777" w:rsidR="00E109E1" w:rsidRPr="00D1325D" w:rsidRDefault="00E109E1" w:rsidP="00691F7F">
      <w:pPr>
        <w:ind w:left="567" w:firstLine="0"/>
        <w:rPr>
          <w:rFonts w:eastAsiaTheme="minorEastAsia"/>
          <w:lang w:eastAsia="ko-KR"/>
        </w:rPr>
      </w:pPr>
    </w:p>
    <w:p w14:paraId="6BC67A35" w14:textId="27D543E1" w:rsidR="003F3D73" w:rsidRDefault="003F3D73" w:rsidP="00DD32EF">
      <w:pPr>
        <w:pStyle w:val="Doc"/>
      </w:pPr>
      <w:r>
        <w:t xml:space="preserve">From </w:t>
      </w:r>
      <w:r>
        <w:rPr>
          <w:rFonts w:hint="eastAsia"/>
        </w:rPr>
        <w:t>the last meeting, it</w:t>
      </w:r>
      <w:r w:rsidR="008B63A4">
        <w:t xml:space="preserve"> has been considered to adopt joint coding between delta-MCS and</w:t>
      </w:r>
      <w:r>
        <w:t xml:space="preserve"> HARQ-ACK bit</w:t>
      </w:r>
      <w:r w:rsidR="008B63A4">
        <w:t xml:space="preserve"> corresponding to PDSCH</w:t>
      </w:r>
      <w:r>
        <w:t>. It could be possible since the processing time of delta-MCS would be similar to PDSCH processing time so the delta-MCS could be multiplexed into HARQ-ACK PUCCH. However, considering DCI missing</w:t>
      </w:r>
      <w:r w:rsidR="008B63A4">
        <w:t xml:space="preserve"> case, it would be problematic </w:t>
      </w:r>
      <w:r>
        <w:t xml:space="preserve">to increase HARQ-ACK bit size only for specific PDSCH occasion. Even if </w:t>
      </w:r>
      <w:r w:rsidR="008B63A4">
        <w:t xml:space="preserve">a </w:t>
      </w:r>
      <w:r>
        <w:t xml:space="preserve">DCI has an indication of delta-MCS reporting </w:t>
      </w:r>
      <w:r w:rsidR="008B63A4">
        <w:t>so that</w:t>
      </w:r>
      <w:r>
        <w:t xml:space="preserve"> UE generate</w:t>
      </w:r>
      <w:r w:rsidR="008B63A4">
        <w:t>s</w:t>
      </w:r>
      <w:r>
        <w:t xml:space="preserve"> larger HARQ-ACK bit</w:t>
      </w:r>
      <w:r w:rsidR="008B63A4">
        <w:t xml:space="preserve"> for the PDSCH occasion indicated by the DCI</w:t>
      </w:r>
      <w:r>
        <w:t xml:space="preserve">, </w:t>
      </w:r>
      <w:r w:rsidR="008B63A4">
        <w:t>it makes HARQ-ACK PUCCH vulnerable since that DCI could make changes on semi-static codebook payload size. On the other hand, i</w:t>
      </w:r>
      <w:r>
        <w:t xml:space="preserve">f increasing HARQ-ACK bit size for all PDSCH to remove DCI ambiguity, payload size of HARQ-ACK codebook would be double. </w:t>
      </w:r>
    </w:p>
    <w:p w14:paraId="5ACCFFBB" w14:textId="70DC369E" w:rsidR="00D1325D" w:rsidRDefault="00D1325D" w:rsidP="00D1325D">
      <w:pPr>
        <w:pStyle w:val="Proposal"/>
      </w:pPr>
      <w:r>
        <w:rPr>
          <w:rFonts w:hint="eastAsia"/>
        </w:rPr>
        <w:t>Pr</w:t>
      </w:r>
      <w:r w:rsidR="008B63A4">
        <w:t xml:space="preserve">oposal </w:t>
      </w:r>
      <w:r w:rsidR="003E7CBB">
        <w:t>#</w:t>
      </w:r>
      <w:r w:rsidR="008B63A4">
        <w:t>6</w:t>
      </w:r>
      <w:r>
        <w:t>: joint coding betw</w:t>
      </w:r>
      <w:r w:rsidR="008B63A4">
        <w:t xml:space="preserve">een delta-MCS and HARQ-ACK bit </w:t>
      </w:r>
      <w:r w:rsidR="006F262F" w:rsidRPr="006F262F">
        <w:t>(</w:t>
      </w:r>
      <w:r w:rsidR="006F262F">
        <w:t xml:space="preserve">at least </w:t>
      </w:r>
      <w:r w:rsidR="006F262F" w:rsidRPr="006F262F">
        <w:t>for all the HARQ-ACKs in the codebook) is not supported</w:t>
      </w:r>
    </w:p>
    <w:p w14:paraId="0074E55A" w14:textId="77777777" w:rsidR="00D1325D" w:rsidRPr="00DD32EF" w:rsidRDefault="00D1325D" w:rsidP="00DD32EF">
      <w:pPr>
        <w:pStyle w:val="Doc"/>
      </w:pPr>
    </w:p>
    <w:p w14:paraId="6A828CC3" w14:textId="0A343719" w:rsidR="003F3D73" w:rsidRDefault="003F3D73" w:rsidP="00DD32EF">
      <w:pPr>
        <w:pStyle w:val="Doc"/>
      </w:pPr>
      <w:r>
        <w:lastRenderedPageBreak/>
        <w:t xml:space="preserve">We would like to suggest to multiplex one delta-MCS with HARQ-ACK codebook. </w:t>
      </w:r>
      <w:r w:rsidR="00D1325D">
        <w:t xml:space="preserve">Thanks to relatively small payload size of delta-MCS, it is possible to reserve bit space next to HARQ-ACK codebook for delta-MCS. Once delta-MCS triggered, UE may include delta-MCS into the bit space. When delta-MCS is not triggered, UE may fill the space with special value, which mean “No delta-MCS triggered”. </w:t>
      </w:r>
      <w:r w:rsidR="00D1325D">
        <w:rPr>
          <w:rFonts w:hint="eastAsia"/>
        </w:rPr>
        <w:t xml:space="preserve">For </w:t>
      </w:r>
      <w:r w:rsidR="00D1325D">
        <w:t>example</w:t>
      </w:r>
      <w:r w:rsidR="00D1325D">
        <w:rPr>
          <w:rFonts w:hint="eastAsia"/>
        </w:rPr>
        <w:t>,</w:t>
      </w:r>
      <w:r w:rsidR="00D1325D">
        <w:t xml:space="preserve"> following delta-MCS table can be used. </w:t>
      </w:r>
    </w:p>
    <w:p w14:paraId="10326C5D" w14:textId="77777777" w:rsidR="00D1325D" w:rsidRDefault="00D1325D" w:rsidP="00DD32EF">
      <w:pPr>
        <w:pStyle w:val="Doc"/>
      </w:pPr>
    </w:p>
    <w:tbl>
      <w:tblPr>
        <w:tblStyle w:val="40"/>
        <w:tblW w:w="0" w:type="auto"/>
        <w:jc w:val="center"/>
        <w:tblLook w:val="0620" w:firstRow="1" w:lastRow="0" w:firstColumn="0" w:lastColumn="0" w:noHBand="1" w:noVBand="1"/>
      </w:tblPr>
      <w:tblGrid>
        <w:gridCol w:w="2689"/>
        <w:gridCol w:w="3335"/>
      </w:tblGrid>
      <w:tr w:rsidR="003F3D73" w14:paraId="6CBC70A1" w14:textId="77777777" w:rsidTr="00212136">
        <w:trPr>
          <w:cnfStyle w:val="100000000000" w:firstRow="1" w:lastRow="0" w:firstColumn="0" w:lastColumn="0" w:oddVBand="0" w:evenVBand="0" w:oddHBand="0" w:evenHBand="0" w:firstRowFirstColumn="0" w:firstRowLastColumn="0" w:lastRowFirstColumn="0" w:lastRowLastColumn="0"/>
          <w:trHeight w:val="564"/>
          <w:jc w:val="center"/>
        </w:trPr>
        <w:tc>
          <w:tcPr>
            <w:tcW w:w="2689" w:type="dxa"/>
          </w:tcPr>
          <w:p w14:paraId="3B36D483" w14:textId="77777777" w:rsidR="003F3D73" w:rsidRDefault="003F3D73" w:rsidP="00212136">
            <w:pPr>
              <w:pStyle w:val="af6"/>
              <w:spacing w:after="360"/>
              <w:ind w:leftChars="0" w:left="0" w:firstLineChars="0" w:firstLine="0"/>
              <w:jc w:val="center"/>
            </w:pPr>
            <w:r>
              <w:rPr>
                <w:rFonts w:hint="eastAsia"/>
              </w:rPr>
              <w:t xml:space="preserve">Index </w:t>
            </w:r>
            <w:r>
              <w:t>or bit representation</w:t>
            </w:r>
          </w:p>
        </w:tc>
        <w:tc>
          <w:tcPr>
            <w:tcW w:w="3335" w:type="dxa"/>
          </w:tcPr>
          <w:p w14:paraId="41837F6E" w14:textId="77777777" w:rsidR="003F3D73" w:rsidRDefault="003F3D73" w:rsidP="00212136">
            <w:pPr>
              <w:pStyle w:val="af6"/>
              <w:spacing w:after="360"/>
              <w:ind w:leftChars="0" w:left="0" w:firstLineChars="0" w:firstLine="0"/>
              <w:jc w:val="center"/>
            </w:pPr>
            <w:r>
              <w:t>Calculated MCS offset</w:t>
            </w:r>
          </w:p>
        </w:tc>
      </w:tr>
      <w:tr w:rsidR="003F3D73" w14:paraId="79B7795F" w14:textId="77777777" w:rsidTr="00212136">
        <w:trPr>
          <w:trHeight w:val="555"/>
          <w:jc w:val="center"/>
        </w:trPr>
        <w:tc>
          <w:tcPr>
            <w:tcW w:w="2689" w:type="dxa"/>
          </w:tcPr>
          <w:p w14:paraId="1439D03E" w14:textId="77777777" w:rsidR="003F3D73" w:rsidRDefault="003F3D73" w:rsidP="00212136">
            <w:pPr>
              <w:pStyle w:val="22"/>
              <w:ind w:left="0"/>
              <w:jc w:val="center"/>
            </w:pPr>
            <w:r>
              <w:rPr>
                <w:rFonts w:hint="eastAsia"/>
              </w:rPr>
              <w:t>0</w:t>
            </w:r>
          </w:p>
        </w:tc>
        <w:tc>
          <w:tcPr>
            <w:tcW w:w="3335" w:type="dxa"/>
          </w:tcPr>
          <w:p w14:paraId="08F6A8D4" w14:textId="77777777" w:rsidR="003F3D73" w:rsidRDefault="003F3D73" w:rsidP="00212136">
            <w:pPr>
              <w:pStyle w:val="22"/>
              <w:ind w:left="0"/>
              <w:jc w:val="center"/>
            </w:pPr>
            <w:r>
              <w:rPr>
                <w:rFonts w:hint="eastAsia"/>
              </w:rPr>
              <w:t>Reserved (Not triggered)</w:t>
            </w:r>
          </w:p>
        </w:tc>
      </w:tr>
      <w:tr w:rsidR="003F3D73" w14:paraId="29B04AAC" w14:textId="77777777" w:rsidTr="00212136">
        <w:trPr>
          <w:trHeight w:val="555"/>
          <w:jc w:val="center"/>
        </w:trPr>
        <w:tc>
          <w:tcPr>
            <w:tcW w:w="2689" w:type="dxa"/>
          </w:tcPr>
          <w:p w14:paraId="0EB81FBC" w14:textId="77777777" w:rsidR="003F3D73" w:rsidRDefault="003F3D73" w:rsidP="00212136">
            <w:pPr>
              <w:pStyle w:val="22"/>
              <w:ind w:left="0"/>
              <w:jc w:val="center"/>
            </w:pPr>
            <w:r>
              <w:rPr>
                <w:rFonts w:hint="eastAsia"/>
              </w:rPr>
              <w:t>1</w:t>
            </w:r>
          </w:p>
        </w:tc>
        <w:tc>
          <w:tcPr>
            <w:tcW w:w="3335" w:type="dxa"/>
          </w:tcPr>
          <w:p w14:paraId="48A62A44" w14:textId="6B2CF7D7" w:rsidR="003F3D73" w:rsidRDefault="003F3D73">
            <w:pPr>
              <w:pStyle w:val="22"/>
              <w:ind w:left="0"/>
              <w:jc w:val="center"/>
            </w:pPr>
            <w:r>
              <w:rPr>
                <w:rFonts w:hint="eastAsia"/>
              </w:rPr>
              <w:t>0</w:t>
            </w:r>
            <w:r>
              <w:t xml:space="preserve"> or higher (MCS offset </w:t>
            </w:r>
            <w:r>
              <w:rPr>
                <w:rFonts w:hint="eastAsia"/>
              </w:rPr>
              <w:t>≥</w:t>
            </w:r>
            <w:r>
              <w:t xml:space="preserve"> 0)</w:t>
            </w:r>
          </w:p>
        </w:tc>
      </w:tr>
      <w:tr w:rsidR="003F3D73" w14:paraId="2A887D3F" w14:textId="77777777" w:rsidTr="00212136">
        <w:trPr>
          <w:trHeight w:val="555"/>
          <w:jc w:val="center"/>
        </w:trPr>
        <w:tc>
          <w:tcPr>
            <w:tcW w:w="2689" w:type="dxa"/>
          </w:tcPr>
          <w:p w14:paraId="6B2D6566" w14:textId="77777777" w:rsidR="003F3D73" w:rsidRDefault="003F3D73" w:rsidP="00212136">
            <w:pPr>
              <w:pStyle w:val="22"/>
              <w:ind w:left="0"/>
              <w:jc w:val="center"/>
            </w:pPr>
            <w:r>
              <w:rPr>
                <w:rFonts w:hint="eastAsia"/>
              </w:rPr>
              <w:t>2</w:t>
            </w:r>
          </w:p>
        </w:tc>
        <w:tc>
          <w:tcPr>
            <w:tcW w:w="3335" w:type="dxa"/>
          </w:tcPr>
          <w:p w14:paraId="4797EDBE" w14:textId="5A369143" w:rsidR="003F3D73" w:rsidRDefault="00F7292A">
            <w:pPr>
              <w:pStyle w:val="22"/>
              <w:ind w:left="0"/>
              <w:jc w:val="center"/>
            </w:pPr>
            <w:r>
              <w:t>-1 (MCS offset = -</w:t>
            </w:r>
            <w:r w:rsidR="003F3D73">
              <w:t>1)</w:t>
            </w:r>
          </w:p>
        </w:tc>
      </w:tr>
      <w:tr w:rsidR="003F3D73" w14:paraId="7F6BADF4" w14:textId="77777777" w:rsidTr="00212136">
        <w:trPr>
          <w:trHeight w:val="555"/>
          <w:jc w:val="center"/>
        </w:trPr>
        <w:tc>
          <w:tcPr>
            <w:tcW w:w="2689" w:type="dxa"/>
          </w:tcPr>
          <w:p w14:paraId="5139B0F4" w14:textId="77777777" w:rsidR="003F3D73" w:rsidRDefault="003F3D73" w:rsidP="00212136">
            <w:pPr>
              <w:pStyle w:val="22"/>
              <w:ind w:left="0"/>
              <w:jc w:val="center"/>
            </w:pPr>
            <w:r>
              <w:rPr>
                <w:rFonts w:hint="eastAsia"/>
              </w:rPr>
              <w:t>3</w:t>
            </w:r>
          </w:p>
        </w:tc>
        <w:tc>
          <w:tcPr>
            <w:tcW w:w="3335" w:type="dxa"/>
          </w:tcPr>
          <w:p w14:paraId="2D465D07" w14:textId="01726728" w:rsidR="003F3D73" w:rsidRDefault="003F3D73">
            <w:pPr>
              <w:pStyle w:val="22"/>
              <w:ind w:left="0"/>
              <w:jc w:val="center"/>
            </w:pPr>
            <w:r>
              <w:t xml:space="preserve">-2 or lower (MCS offset </w:t>
            </w:r>
            <w:r>
              <w:rPr>
                <w:rFonts w:hint="eastAsia"/>
              </w:rPr>
              <w:t>≤ -</w:t>
            </w:r>
            <w:r>
              <w:t>2)</w:t>
            </w:r>
          </w:p>
        </w:tc>
      </w:tr>
    </w:tbl>
    <w:p w14:paraId="139AF85D" w14:textId="77777777" w:rsidR="003F3D73" w:rsidRPr="003F3D73" w:rsidRDefault="003F3D73" w:rsidP="00691F7F">
      <w:pPr>
        <w:ind w:left="567" w:firstLine="0"/>
        <w:rPr>
          <w:rFonts w:eastAsiaTheme="minorEastAsia"/>
          <w:lang w:eastAsia="ko-KR"/>
        </w:rPr>
      </w:pPr>
    </w:p>
    <w:p w14:paraId="1F355B10" w14:textId="03B8AFA7" w:rsidR="003F3D73" w:rsidRDefault="00D1325D" w:rsidP="00DD32EF">
      <w:pPr>
        <w:pStyle w:val="Proposal"/>
      </w:pPr>
      <w:r>
        <w:rPr>
          <w:rFonts w:hint="eastAsia"/>
        </w:rPr>
        <w:t>Pr</w:t>
      </w:r>
      <w:r>
        <w:t xml:space="preserve">oposal </w:t>
      </w:r>
      <w:r w:rsidR="003E7CBB">
        <w:t>#</w:t>
      </w:r>
      <w:r w:rsidR="008B63A4">
        <w:t>7</w:t>
      </w:r>
      <w:r>
        <w:t>: it can be supported to multiplex delta-MCS with HARQ-ACK codebook.</w:t>
      </w:r>
    </w:p>
    <w:p w14:paraId="2E357014" w14:textId="05685C1D" w:rsidR="008B63A4" w:rsidRDefault="00D1325D" w:rsidP="00DD32EF">
      <w:pPr>
        <w:pStyle w:val="Proposal"/>
        <w:numPr>
          <w:ilvl w:val="0"/>
          <w:numId w:val="41"/>
        </w:numPr>
        <w:ind w:firstLineChars="0"/>
      </w:pPr>
      <w:r>
        <w:t>R</w:t>
      </w:r>
      <w:r>
        <w:rPr>
          <w:rFonts w:hint="eastAsia"/>
        </w:rPr>
        <w:t xml:space="preserve">eserved </w:t>
      </w:r>
      <w:r>
        <w:t xml:space="preserve">bit </w:t>
      </w:r>
      <w:r w:rsidR="008B63A4">
        <w:t xml:space="preserve">in the HARQ-ACK codebook can be supported </w:t>
      </w:r>
      <w:r w:rsidR="006F262F" w:rsidRPr="006F262F">
        <w:t xml:space="preserve">for the delta-MCS reporting </w:t>
      </w:r>
      <w:r w:rsidR="008B63A4">
        <w:t>to remove an ambiguity from DCI missing</w:t>
      </w:r>
    </w:p>
    <w:p w14:paraId="663E830E" w14:textId="62E548F2" w:rsidR="00D1325D" w:rsidRDefault="008B63A4" w:rsidP="00DD32EF">
      <w:pPr>
        <w:pStyle w:val="Proposal"/>
        <w:numPr>
          <w:ilvl w:val="0"/>
          <w:numId w:val="41"/>
        </w:numPr>
        <w:ind w:firstLineChars="0"/>
      </w:pPr>
      <w:r>
        <w:t>R</w:t>
      </w:r>
      <w:r w:rsidR="00D1325D">
        <w:t xml:space="preserve">eserved state in table for delta-MCS </w:t>
      </w:r>
      <w:r w:rsidR="006F262F" w:rsidRPr="006F262F">
        <w:t xml:space="preserve">reporting </w:t>
      </w:r>
      <w:r w:rsidR="006F262F">
        <w:t>c</w:t>
      </w:r>
      <w:r w:rsidR="00D1325D">
        <w:t xml:space="preserve">an be adopted </w:t>
      </w:r>
      <w:r w:rsidR="006F262F" w:rsidRPr="006F262F">
        <w:t xml:space="preserve">considering </w:t>
      </w:r>
      <w:r>
        <w:t>the case where delta-MCS is not triggered.</w:t>
      </w:r>
    </w:p>
    <w:p w14:paraId="7973DAB0" w14:textId="77777777" w:rsidR="00D1325D" w:rsidRPr="00E74AAE" w:rsidRDefault="00D1325D" w:rsidP="00691F7F">
      <w:pPr>
        <w:ind w:left="567" w:firstLine="0"/>
        <w:rPr>
          <w:rFonts w:eastAsiaTheme="minorEastAsia"/>
          <w:lang w:eastAsia="ko-KR"/>
        </w:rPr>
      </w:pPr>
    </w:p>
    <w:p w14:paraId="57938B19" w14:textId="77777777" w:rsidR="00E109E1" w:rsidRDefault="00E109E1">
      <w:pPr>
        <w:pStyle w:val="1"/>
      </w:pPr>
      <w:r>
        <w:t>Other</w:t>
      </w:r>
      <w:r w:rsidR="00E671AF">
        <w:t>s</w:t>
      </w:r>
    </w:p>
    <w:p w14:paraId="524C0FC1" w14:textId="5AFE5307" w:rsidR="00E109E1" w:rsidRDefault="00A34916" w:rsidP="00DC318D">
      <w:pPr>
        <w:pStyle w:val="Doc"/>
      </w:pPr>
      <w:r>
        <w:t>I</w:t>
      </w:r>
      <w:r>
        <w:rPr>
          <w:rFonts w:hint="eastAsia"/>
        </w:rPr>
        <w:t xml:space="preserve">f </w:t>
      </w:r>
      <w:r>
        <w:t>multiple types of CSI reporting are introduce</w:t>
      </w:r>
      <w:r w:rsidR="004F63A3">
        <w:t>d</w:t>
      </w:r>
      <w:r>
        <w:t xml:space="preserve"> </w:t>
      </w:r>
      <w:r w:rsidR="0088320F">
        <w:t xml:space="preserve">and multiplexed, it is necessary to define a priority among those CSI. The priory would determine CSI dropping for the lack of UL resource. </w:t>
      </w:r>
    </w:p>
    <w:p w14:paraId="4B053881" w14:textId="77777777" w:rsidR="0088320F" w:rsidRDefault="0088320F" w:rsidP="00DC318D">
      <w:pPr>
        <w:pStyle w:val="Doc"/>
      </w:pPr>
      <w:r>
        <w:t xml:space="preserve">In our view, at least for the URLLC traffic, </w:t>
      </w:r>
      <w:r w:rsidRPr="0088320F">
        <w:t>instantaneous</w:t>
      </w:r>
      <w:r>
        <w:t xml:space="preserve"> CSI would be more important. Thus, case-2 CSI</w:t>
      </w:r>
      <w:r w:rsidR="00071C66">
        <w:t xml:space="preserve"> (if introduced)</w:t>
      </w:r>
      <w:r>
        <w:t xml:space="preserve"> could have higher priority than others if any, and case-1 CSI</w:t>
      </w:r>
      <w:r w:rsidR="00071C66">
        <w:t xml:space="preserve"> (if introduced)</w:t>
      </w:r>
      <w:r>
        <w:t xml:space="preserve"> would be higher priority than legacy CSI if any. </w:t>
      </w:r>
    </w:p>
    <w:p w14:paraId="22557B17" w14:textId="5BC12FCE" w:rsidR="0088320F" w:rsidRDefault="0088320F" w:rsidP="0088320F">
      <w:pPr>
        <w:pStyle w:val="Proposal"/>
      </w:pPr>
      <w:r>
        <w:rPr>
          <w:rFonts w:hint="eastAsia"/>
        </w:rPr>
        <w:t>Proposal #</w:t>
      </w:r>
      <w:r w:rsidR="008B63A4">
        <w:t>8</w:t>
      </w:r>
      <w:r>
        <w:rPr>
          <w:rFonts w:hint="eastAsia"/>
        </w:rPr>
        <w:t xml:space="preserve">: </w:t>
      </w:r>
      <w:r w:rsidR="0020712C">
        <w:t>I</w:t>
      </w:r>
      <w:r>
        <w:rPr>
          <w:rFonts w:hint="eastAsia"/>
        </w:rPr>
        <w:t xml:space="preserve">t </w:t>
      </w:r>
      <w:r>
        <w:t>is necessary to discuss CSI priority if multiple CSI reporting</w:t>
      </w:r>
      <w:r w:rsidR="0020712C">
        <w:t xml:space="preserve"> types</w:t>
      </w:r>
      <w:r>
        <w:t xml:space="preserve"> are supported. </w:t>
      </w:r>
    </w:p>
    <w:p w14:paraId="2F181727" w14:textId="0E16B79B" w:rsidR="00BB570D" w:rsidRPr="0020712C" w:rsidRDefault="00BB570D" w:rsidP="00DC318D">
      <w:pPr>
        <w:pStyle w:val="Proposal"/>
        <w:ind w:firstLineChars="0" w:firstLine="0"/>
      </w:pPr>
    </w:p>
    <w:p w14:paraId="11DA5C45" w14:textId="77777777" w:rsidR="00270818" w:rsidRDefault="00270818">
      <w:pPr>
        <w:pStyle w:val="1"/>
        <w:numPr>
          <w:ilvl w:val="0"/>
          <w:numId w:val="1"/>
        </w:numPr>
      </w:pPr>
      <w:r>
        <w:t>Conclusions</w:t>
      </w:r>
    </w:p>
    <w:p w14:paraId="011288D4" w14:textId="77777777" w:rsidR="00E747F9" w:rsidRDefault="0052000E" w:rsidP="00270818">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14:paraId="5C304E28" w14:textId="77777777" w:rsidR="003E7CBB" w:rsidRDefault="003E7CBB" w:rsidP="003E7CBB">
      <w:pPr>
        <w:pStyle w:val="Proposal"/>
      </w:pPr>
      <w:r>
        <w:rPr>
          <w:rFonts w:hint="eastAsia"/>
        </w:rPr>
        <w:t>Proposal #1</w:t>
      </w:r>
      <w:r>
        <w:t>: Do not support A-CSI on PUCCH by DL DCI triggering.</w:t>
      </w:r>
    </w:p>
    <w:p w14:paraId="7E7A96A8" w14:textId="77777777" w:rsidR="003E7CBB" w:rsidRDefault="003E7CBB" w:rsidP="00DD32EF">
      <w:pPr>
        <w:pStyle w:val="Proposal"/>
      </w:pPr>
      <w:r>
        <w:rPr>
          <w:rFonts w:hint="eastAsia"/>
        </w:rPr>
        <w:lastRenderedPageBreak/>
        <w:t>Proposal</w:t>
      </w:r>
      <w:r>
        <w:t xml:space="preserve"> #2</w:t>
      </w:r>
      <w:r>
        <w:rPr>
          <w:rFonts w:hint="eastAsia"/>
        </w:rPr>
        <w:t xml:space="preserve">: It </w:t>
      </w:r>
      <w:r>
        <w:t xml:space="preserve">needs further consideration on how </w:t>
      </w:r>
      <w:r>
        <w:rPr>
          <w:rFonts w:hint="eastAsia"/>
        </w:rPr>
        <w:t xml:space="preserve">to </w:t>
      </w:r>
      <w:r>
        <w:t xml:space="preserve">alleviate </w:t>
      </w:r>
      <w:r>
        <w:rPr>
          <w:rFonts w:hint="eastAsia"/>
        </w:rPr>
        <w:t>CSI overhead, in order to support incre</w:t>
      </w:r>
      <w:r>
        <w:t xml:space="preserve">ased number bits for sub-band CQI. </w:t>
      </w:r>
    </w:p>
    <w:p w14:paraId="5CA2A2E7" w14:textId="77777777" w:rsidR="003E7CBB" w:rsidRDefault="003E7CBB" w:rsidP="00DD32EF">
      <w:pPr>
        <w:pStyle w:val="Proposal"/>
      </w:pPr>
      <w:r>
        <w:rPr>
          <w:rFonts w:hint="eastAsia"/>
        </w:rPr>
        <w:t>Proposal #3: It can be co</w:t>
      </w:r>
      <w:r>
        <w:t xml:space="preserve">nsidered that UE adjust CQI overhead by disabling eCQI based on its channel estimation. </w:t>
      </w:r>
    </w:p>
    <w:p w14:paraId="35400FEA" w14:textId="1D53E90D" w:rsidR="003E7CBB" w:rsidRDefault="003E7CBB" w:rsidP="003E7CBB">
      <w:pPr>
        <w:pStyle w:val="Proposal"/>
      </w:pPr>
      <w:r>
        <w:rPr>
          <w:rFonts w:hint="eastAsia"/>
        </w:rPr>
        <w:t>Proposal #</w:t>
      </w:r>
      <w:r>
        <w:t>4</w:t>
      </w:r>
      <w:r>
        <w:rPr>
          <w:rFonts w:hint="eastAsia"/>
        </w:rPr>
        <w:t xml:space="preserve">: </w:t>
      </w:r>
      <w:r>
        <w:t xml:space="preserve">For delta-CQI/MCS reporting, existing PUCCH resource allocation method for P-CSI on PUCCH can be re-used. </w:t>
      </w:r>
    </w:p>
    <w:p w14:paraId="75AF4617" w14:textId="77777777" w:rsidR="003E7CBB" w:rsidRDefault="003E7CBB" w:rsidP="003E7CBB">
      <w:pPr>
        <w:pStyle w:val="Proposal"/>
        <w:numPr>
          <w:ilvl w:val="0"/>
          <w:numId w:val="41"/>
        </w:numPr>
        <w:ind w:firstLineChars="0"/>
      </w:pPr>
      <w:r w:rsidRPr="002F1EF9">
        <w:t>When PDSCH is scheduled with triggering of delta-CQI/MCS reporting, UE may choose a PUCCH resource</w:t>
      </w:r>
      <w:r>
        <w:t xml:space="preserve"> that satisfies </w:t>
      </w:r>
      <w:r w:rsidRPr="002F1EF9">
        <w:t>CSI computation timeline</w:t>
      </w:r>
      <w:r>
        <w:t xml:space="preserve">, </w:t>
      </w:r>
      <w:r w:rsidRPr="002F1EF9">
        <w:t xml:space="preserve">among </w:t>
      </w:r>
      <w:r>
        <w:t>configured PUCCH resources.</w:t>
      </w:r>
    </w:p>
    <w:p w14:paraId="6020E880" w14:textId="37204AD3" w:rsidR="003E7CBB" w:rsidRDefault="003E7CBB" w:rsidP="003E7CBB">
      <w:pPr>
        <w:pStyle w:val="Proposal"/>
      </w:pPr>
      <w:r>
        <w:rPr>
          <w:rFonts w:hint="eastAsia"/>
        </w:rPr>
        <w:t>Proposal #</w:t>
      </w:r>
      <w:r>
        <w:t>5</w:t>
      </w:r>
      <w:r>
        <w:rPr>
          <w:rFonts w:hint="eastAsia"/>
        </w:rPr>
        <w:t xml:space="preserve">: </w:t>
      </w:r>
      <w:r>
        <w:t>I</w:t>
      </w:r>
      <w:r>
        <w:rPr>
          <w:rFonts w:hint="eastAsia"/>
        </w:rPr>
        <w:t xml:space="preserve">t </w:t>
      </w:r>
      <w:r>
        <w:t>is necessary to discuss how UE determines PDSCH for delta-CQI/MCS reporting.</w:t>
      </w:r>
      <w:bookmarkStart w:id="3" w:name="_GoBack"/>
      <w:bookmarkEnd w:id="3"/>
    </w:p>
    <w:p w14:paraId="698451FC" w14:textId="6B0CD9FF" w:rsidR="003E7CBB" w:rsidRDefault="003E7CBB" w:rsidP="003E7CBB">
      <w:pPr>
        <w:pStyle w:val="Proposal"/>
      </w:pPr>
      <w:r>
        <w:rPr>
          <w:rFonts w:hint="eastAsia"/>
        </w:rPr>
        <w:t>Pr</w:t>
      </w:r>
      <w:r>
        <w:t xml:space="preserve">oposal </w:t>
      </w:r>
      <w:r>
        <w:rPr>
          <w:rFonts w:hint="eastAsia"/>
        </w:rPr>
        <w:t>#</w:t>
      </w:r>
      <w:r>
        <w:t>6: joint coding between delta-MCS and HARQ-ACK bit is not supported.</w:t>
      </w:r>
    </w:p>
    <w:p w14:paraId="144A286F" w14:textId="6713F55C" w:rsidR="003E7CBB" w:rsidRDefault="003E7CBB" w:rsidP="00DD32EF">
      <w:pPr>
        <w:pStyle w:val="Proposal"/>
      </w:pPr>
      <w:r>
        <w:rPr>
          <w:rFonts w:hint="eastAsia"/>
        </w:rPr>
        <w:t>Pr</w:t>
      </w:r>
      <w:r>
        <w:t xml:space="preserve">oposal </w:t>
      </w:r>
      <w:r>
        <w:rPr>
          <w:rFonts w:hint="eastAsia"/>
        </w:rPr>
        <w:t>#</w:t>
      </w:r>
      <w:r>
        <w:t>7: it can be supported to multiplex delta-MCS with HARQ-ACK codebook.</w:t>
      </w:r>
    </w:p>
    <w:p w14:paraId="7BFDF5C6" w14:textId="77777777" w:rsidR="003E7CBB" w:rsidRDefault="003E7CBB" w:rsidP="00DD32EF">
      <w:pPr>
        <w:pStyle w:val="Proposal"/>
        <w:numPr>
          <w:ilvl w:val="0"/>
          <w:numId w:val="41"/>
        </w:numPr>
        <w:ind w:firstLineChars="0"/>
      </w:pPr>
      <w:r>
        <w:t>R</w:t>
      </w:r>
      <w:r>
        <w:rPr>
          <w:rFonts w:hint="eastAsia"/>
        </w:rPr>
        <w:t xml:space="preserve">eserved </w:t>
      </w:r>
      <w:r>
        <w:t>bit in the HARQ-ACK codebook can be supported to remove an ambiguity from DCI missing</w:t>
      </w:r>
    </w:p>
    <w:p w14:paraId="58CAA9C2" w14:textId="77777777" w:rsidR="003E7CBB" w:rsidRDefault="003E7CBB" w:rsidP="00DD32EF">
      <w:pPr>
        <w:pStyle w:val="Proposal"/>
        <w:numPr>
          <w:ilvl w:val="0"/>
          <w:numId w:val="41"/>
        </w:numPr>
        <w:ind w:firstLineChars="0"/>
      </w:pPr>
      <w:r>
        <w:t>Reserved state in table for delta-MCS can be adopted in the case where delta-MCS is not triggered.</w:t>
      </w:r>
    </w:p>
    <w:p w14:paraId="71DF68FD" w14:textId="6CE355D8" w:rsidR="003E7CBB" w:rsidRDefault="003E7CBB" w:rsidP="003E7CBB">
      <w:pPr>
        <w:pStyle w:val="Proposal"/>
      </w:pPr>
      <w:r>
        <w:rPr>
          <w:rFonts w:hint="eastAsia"/>
        </w:rPr>
        <w:t>Proposal #</w:t>
      </w:r>
      <w:r>
        <w:t>8</w:t>
      </w:r>
      <w:r>
        <w:rPr>
          <w:rFonts w:hint="eastAsia"/>
        </w:rPr>
        <w:t xml:space="preserve">: </w:t>
      </w:r>
      <w:r>
        <w:t>I</w:t>
      </w:r>
      <w:r>
        <w:rPr>
          <w:rFonts w:hint="eastAsia"/>
        </w:rPr>
        <w:t xml:space="preserve">t </w:t>
      </w:r>
      <w:r>
        <w:t xml:space="preserve">is necessary to discuss CSI priority if multiple CSI reporting types are supported. </w:t>
      </w:r>
    </w:p>
    <w:p w14:paraId="22CBB93C" w14:textId="77777777" w:rsidR="003E7CBB" w:rsidRPr="0020712C" w:rsidRDefault="003E7CBB" w:rsidP="003E7CBB">
      <w:pPr>
        <w:pStyle w:val="Proposal"/>
        <w:ind w:firstLineChars="0" w:firstLine="0"/>
      </w:pPr>
    </w:p>
    <w:p w14:paraId="4758BD79" w14:textId="77777777" w:rsidR="008B63A4" w:rsidRPr="003E7CBB" w:rsidRDefault="008B63A4" w:rsidP="00270818">
      <w:pPr>
        <w:spacing w:before="120" w:after="120" w:line="240" w:lineRule="auto"/>
        <w:ind w:left="0" w:firstLineChars="100" w:firstLine="220"/>
        <w:rPr>
          <w:rFonts w:eastAsia="바탕"/>
          <w:sz w:val="22"/>
          <w:szCs w:val="22"/>
          <w:lang w:eastAsia="ko-KR"/>
        </w:rPr>
      </w:pPr>
    </w:p>
    <w:p w14:paraId="77BF4F7E" w14:textId="77777777" w:rsidR="009E12C3" w:rsidRPr="002F2D18" w:rsidRDefault="009E12C3">
      <w:pPr>
        <w:pStyle w:val="1"/>
        <w:numPr>
          <w:ilvl w:val="0"/>
          <w:numId w:val="1"/>
        </w:numPr>
      </w:pPr>
      <w:r w:rsidRPr="002F2D18">
        <w:t>References</w:t>
      </w:r>
    </w:p>
    <w:p w14:paraId="0159853F" w14:textId="6C0A6F94" w:rsidR="002F2D18" w:rsidRDefault="006F2B21" w:rsidP="006F2B21">
      <w:pPr>
        <w:pStyle w:val="References"/>
        <w:rPr>
          <w:lang w:eastAsia="ko-KR"/>
        </w:rPr>
      </w:pPr>
      <w:r w:rsidRPr="006F2B21">
        <w:rPr>
          <w:lang w:eastAsia="ko-KR"/>
        </w:rPr>
        <w:t>RP-211569</w:t>
      </w:r>
      <w:r>
        <w:rPr>
          <w:lang w:eastAsia="ko-KR"/>
        </w:rPr>
        <w:t xml:space="preserve">, </w:t>
      </w:r>
      <w:r w:rsidRPr="006F2B21">
        <w:rPr>
          <w:lang w:eastAsia="ko-KR"/>
        </w:rPr>
        <w:t>Moderator's summary for email discussion [92-e-15-IIoT-URLLC-Scope]</w:t>
      </w:r>
      <w:r>
        <w:rPr>
          <w:lang w:eastAsia="ko-KR"/>
        </w:rPr>
        <w:t xml:space="preserve">, </w:t>
      </w:r>
      <w:r w:rsidRPr="006F2B21">
        <w:rPr>
          <w:rFonts w:eastAsia="맑은 고딕"/>
          <w:szCs w:val="22"/>
          <w:lang w:eastAsia="ko-KR"/>
        </w:rPr>
        <w:t>RAN1 chair (Samsung)</w:t>
      </w:r>
      <w:r>
        <w:rPr>
          <w:rFonts w:eastAsia="맑은 고딕"/>
          <w:szCs w:val="22"/>
          <w:lang w:eastAsia="ko-KR"/>
        </w:rPr>
        <w:t xml:space="preserve">, </w:t>
      </w:r>
      <w:r>
        <w:rPr>
          <w:lang w:eastAsia="ko-KR"/>
        </w:rPr>
        <w:t xml:space="preserve"> RAN#92</w:t>
      </w:r>
      <w:r w:rsidR="00D13A31" w:rsidRPr="006E5A16">
        <w:rPr>
          <w:lang w:eastAsia="ko-KR"/>
        </w:rPr>
        <w:t>-e</w:t>
      </w:r>
    </w:p>
    <w:p w14:paraId="676780BE" w14:textId="3B752AE8" w:rsidR="006F2B21" w:rsidRPr="00B84BA7" w:rsidRDefault="006F2B21" w:rsidP="006F2B21">
      <w:pPr>
        <w:pStyle w:val="References"/>
        <w:rPr>
          <w:lang w:eastAsia="ko-KR"/>
        </w:rPr>
      </w:pPr>
      <w:r w:rsidRPr="006F2B21">
        <w:rPr>
          <w:lang w:eastAsia="ko-KR"/>
        </w:rPr>
        <w:t>RP-211297</w:t>
      </w:r>
      <w:r>
        <w:rPr>
          <w:lang w:eastAsia="ko-KR"/>
        </w:rPr>
        <w:t xml:space="preserve">, </w:t>
      </w:r>
      <w:r w:rsidRPr="006F2B21">
        <w:rPr>
          <w:lang w:eastAsia="ko-KR"/>
        </w:rPr>
        <w:t>Way forward on CSI feedback enhancements for enhanced URLLC/IIoT</w:t>
      </w:r>
      <w:r>
        <w:rPr>
          <w:lang w:eastAsia="ko-KR"/>
        </w:rPr>
        <w:t xml:space="preserve">, </w:t>
      </w:r>
      <w:r w:rsidRPr="006F2B21">
        <w:rPr>
          <w:lang w:eastAsia="ko-KR"/>
        </w:rPr>
        <w:t>InterDigital, Inc., Ericsson, Motorola Mobility, OPPO, Qualcomm, Samsung, SONY, Spreadtrum</w:t>
      </w:r>
      <w:r>
        <w:rPr>
          <w:lang w:eastAsia="ko-KR"/>
        </w:rPr>
        <w:t>, RAN#92-e</w:t>
      </w:r>
    </w:p>
    <w:p w14:paraId="625967B9" w14:textId="77777777" w:rsidR="00E3636D" w:rsidRDefault="00E3636D" w:rsidP="00E3636D">
      <w:pPr>
        <w:spacing w:before="120" w:after="120" w:line="240" w:lineRule="auto"/>
        <w:ind w:left="284" w:hangingChars="129"/>
        <w:rPr>
          <w:rFonts w:eastAsia="바탕"/>
          <w:sz w:val="22"/>
          <w:szCs w:val="22"/>
          <w:lang w:val="en-US" w:eastAsia="ko-KR"/>
        </w:rPr>
      </w:pPr>
    </w:p>
    <w:p w14:paraId="1AED1A00"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150B1F42"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537E6" w14:textId="77777777" w:rsidR="00CB1FE2" w:rsidRDefault="00CB1FE2" w:rsidP="00CB15B0">
      <w:pPr>
        <w:spacing w:before="0" w:after="0" w:line="240" w:lineRule="auto"/>
      </w:pPr>
      <w:r>
        <w:separator/>
      </w:r>
    </w:p>
  </w:endnote>
  <w:endnote w:type="continuationSeparator" w:id="0">
    <w:p w14:paraId="4C11B7BC" w14:textId="77777777" w:rsidR="00CB1FE2" w:rsidRDefault="00CB1F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Rix고딕 L">
    <w:altName w:val="Arial Unicode MS"/>
    <w:charset w:val="81"/>
    <w:family w:val="roman"/>
    <w:pitch w:val="variable"/>
    <w:sig w:usb0="800002A7" w:usb1="29D77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F9A0F" w14:textId="77777777" w:rsidR="00CB1FE2" w:rsidRDefault="00CB1FE2" w:rsidP="00CB15B0">
      <w:pPr>
        <w:spacing w:before="0" w:after="0" w:line="240" w:lineRule="auto"/>
      </w:pPr>
      <w:r>
        <w:separator/>
      </w:r>
    </w:p>
  </w:footnote>
  <w:footnote w:type="continuationSeparator" w:id="0">
    <w:p w14:paraId="23128519" w14:textId="77777777" w:rsidR="00CB1FE2" w:rsidRDefault="00CB1F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42CE7"/>
    <w:multiLevelType w:val="hybridMultilevel"/>
    <w:tmpl w:val="B5700258"/>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60D3B"/>
    <w:multiLevelType w:val="hybridMultilevel"/>
    <w:tmpl w:val="7D5240A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C5164B"/>
    <w:multiLevelType w:val="hybridMultilevel"/>
    <w:tmpl w:val="8F24FA9E"/>
    <w:lvl w:ilvl="0" w:tplc="5CFA6C2E">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2"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E7B99"/>
    <w:multiLevelType w:val="hybridMultilevel"/>
    <w:tmpl w:val="2A0A0D00"/>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6E0164B1"/>
    <w:multiLevelType w:val="hybridMultilevel"/>
    <w:tmpl w:val="E41E12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6" w15:restartNumberingAfterBreak="0">
    <w:nsid w:val="6FA25D30"/>
    <w:multiLevelType w:val="hybridMultilevel"/>
    <w:tmpl w:val="66E2544C"/>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15:restartNumberingAfterBreak="0">
    <w:nsid w:val="703157D4"/>
    <w:multiLevelType w:val="multilevel"/>
    <w:tmpl w:val="E200A0A8"/>
    <w:lvl w:ilvl="0">
      <w:start w:val="1"/>
      <w:numFmt w:val="decimal"/>
      <w:lvlText w:val="%1."/>
      <w:lvlJc w:val="left"/>
      <w:pPr>
        <w:tabs>
          <w:tab w:val="num" w:pos="425"/>
        </w:tabs>
        <w:ind w:left="425" w:hanging="425"/>
      </w:pPr>
    </w:lvl>
    <w:lvl w:ilvl="1">
      <w:start w:val="1"/>
      <w:numFmt w:val="decimal"/>
      <w:pStyle w:val="1"/>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9807A1"/>
    <w:multiLevelType w:val="hybridMultilevel"/>
    <w:tmpl w:val="1F0465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77AC59B5"/>
    <w:multiLevelType w:val="hybridMultilevel"/>
    <w:tmpl w:val="575E35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0"/>
  </w:num>
  <w:num w:numId="3">
    <w:abstractNumId w:val="18"/>
  </w:num>
  <w:num w:numId="4">
    <w:abstractNumId w:val="15"/>
  </w:num>
  <w:num w:numId="5">
    <w:abstractNumId w:val="8"/>
  </w:num>
  <w:num w:numId="6">
    <w:abstractNumId w:val="16"/>
  </w:num>
  <w:num w:numId="7">
    <w:abstractNumId w:val="17"/>
  </w:num>
  <w:num w:numId="8">
    <w:abstractNumId w:val="1"/>
  </w:num>
  <w:num w:numId="9">
    <w:abstractNumId w:val="2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1"/>
  </w:num>
  <w:num w:numId="13">
    <w:abstractNumId w:val="25"/>
  </w:num>
  <w:num w:numId="14">
    <w:abstractNumId w:val="21"/>
  </w:num>
  <w:num w:numId="15">
    <w:abstractNumId w:val="14"/>
  </w:num>
  <w:num w:numId="16">
    <w:abstractNumId w:val="27"/>
  </w:num>
  <w:num w:numId="17">
    <w:abstractNumId w:val="10"/>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
  </w:num>
  <w:num w:numId="22">
    <w:abstractNumId w:val="32"/>
  </w:num>
  <w:num w:numId="23">
    <w:abstractNumId w:val="23"/>
  </w:num>
  <w:num w:numId="24">
    <w:abstractNumId w:val="19"/>
  </w:num>
  <w:num w:numId="25">
    <w:abstractNumId w:val="11"/>
  </w:num>
  <w:num w:numId="26">
    <w:abstractNumId w:val="22"/>
  </w:num>
  <w:num w:numId="27">
    <w:abstractNumId w:val="9"/>
  </w:num>
  <w:num w:numId="28">
    <w:abstractNumId w:val="24"/>
  </w:num>
  <w:num w:numId="29">
    <w:abstractNumId w:val="13"/>
  </w:num>
  <w:num w:numId="30">
    <w:abstractNumId w:val="6"/>
  </w:num>
  <w:num w:numId="31">
    <w:abstractNumId w:val="12"/>
  </w:num>
  <w:num w:numId="32">
    <w:abstractNumId w:val="4"/>
  </w:num>
  <w:num w:numId="33">
    <w:abstractNumId w:val="28"/>
  </w:num>
  <w:num w:numId="34">
    <w:abstractNumId w:val="33"/>
  </w:num>
  <w:num w:numId="35">
    <w:abstractNumId w:val="20"/>
  </w:num>
  <w:num w:numId="36">
    <w:abstractNumId w:val="36"/>
  </w:num>
  <w:num w:numId="37">
    <w:abstractNumId w:val="5"/>
  </w:num>
  <w:num w:numId="38">
    <w:abstractNumId w:val="33"/>
  </w:num>
  <w:num w:numId="39">
    <w:abstractNumId w:val="38"/>
  </w:num>
  <w:num w:numId="40">
    <w:abstractNumId w:val="34"/>
  </w:num>
  <w:num w:numId="41">
    <w:abstractNumId w:val="35"/>
  </w:num>
  <w:num w:numId="42">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766"/>
    <w:rsid w:val="00016B06"/>
    <w:rsid w:val="00017316"/>
    <w:rsid w:val="0001738D"/>
    <w:rsid w:val="00017861"/>
    <w:rsid w:val="0001799F"/>
    <w:rsid w:val="00017B23"/>
    <w:rsid w:val="00020D8F"/>
    <w:rsid w:val="000213E8"/>
    <w:rsid w:val="00021A12"/>
    <w:rsid w:val="00021CF8"/>
    <w:rsid w:val="0002220F"/>
    <w:rsid w:val="000224FD"/>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66"/>
    <w:rsid w:val="00071E84"/>
    <w:rsid w:val="00071FD2"/>
    <w:rsid w:val="0007229C"/>
    <w:rsid w:val="000723DD"/>
    <w:rsid w:val="000726E7"/>
    <w:rsid w:val="000726F5"/>
    <w:rsid w:val="0007286F"/>
    <w:rsid w:val="00072E1A"/>
    <w:rsid w:val="00073E3B"/>
    <w:rsid w:val="0007404A"/>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EB6"/>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0FA"/>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BE5"/>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A8A"/>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0DCF"/>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3F2"/>
    <w:rsid w:val="001A6969"/>
    <w:rsid w:val="001A69ED"/>
    <w:rsid w:val="001A73A2"/>
    <w:rsid w:val="001A7A6F"/>
    <w:rsid w:val="001A7E83"/>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2C"/>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4CB"/>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DA2"/>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19F"/>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1EF9"/>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4DE"/>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866"/>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44B"/>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DE3"/>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9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CBB"/>
    <w:rsid w:val="003E7F41"/>
    <w:rsid w:val="003F0320"/>
    <w:rsid w:val="003F14A7"/>
    <w:rsid w:val="003F20D5"/>
    <w:rsid w:val="003F23DA"/>
    <w:rsid w:val="003F2EA3"/>
    <w:rsid w:val="003F33F9"/>
    <w:rsid w:val="003F3795"/>
    <w:rsid w:val="003F3972"/>
    <w:rsid w:val="003F3A97"/>
    <w:rsid w:val="003F3B80"/>
    <w:rsid w:val="003F3D73"/>
    <w:rsid w:val="003F4064"/>
    <w:rsid w:val="003F4111"/>
    <w:rsid w:val="003F46BB"/>
    <w:rsid w:val="003F49A2"/>
    <w:rsid w:val="003F504B"/>
    <w:rsid w:val="003F5E93"/>
    <w:rsid w:val="003F68D0"/>
    <w:rsid w:val="003F7882"/>
    <w:rsid w:val="003F7887"/>
    <w:rsid w:val="004003D3"/>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023"/>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28D"/>
    <w:rsid w:val="004B17F2"/>
    <w:rsid w:val="004B1DC1"/>
    <w:rsid w:val="004B1EA1"/>
    <w:rsid w:val="004B21B7"/>
    <w:rsid w:val="004B2A27"/>
    <w:rsid w:val="004B2B4C"/>
    <w:rsid w:val="004B342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3A3"/>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2D9"/>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7D"/>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59F"/>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8E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31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36B"/>
    <w:rsid w:val="0063666D"/>
    <w:rsid w:val="0063711E"/>
    <w:rsid w:val="006372C7"/>
    <w:rsid w:val="006372DA"/>
    <w:rsid w:val="00637461"/>
    <w:rsid w:val="006379AC"/>
    <w:rsid w:val="00637BED"/>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F7F"/>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AEE"/>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DD"/>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58"/>
    <w:rsid w:val="006E5DED"/>
    <w:rsid w:val="006E601E"/>
    <w:rsid w:val="006E615F"/>
    <w:rsid w:val="006E7687"/>
    <w:rsid w:val="006E7D87"/>
    <w:rsid w:val="006F0787"/>
    <w:rsid w:val="006F0C0E"/>
    <w:rsid w:val="006F1490"/>
    <w:rsid w:val="006F1503"/>
    <w:rsid w:val="006F218F"/>
    <w:rsid w:val="006F262F"/>
    <w:rsid w:val="006F2B21"/>
    <w:rsid w:val="006F356F"/>
    <w:rsid w:val="006F4D0C"/>
    <w:rsid w:val="006F4F6D"/>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BAB"/>
    <w:rsid w:val="00710F75"/>
    <w:rsid w:val="00711040"/>
    <w:rsid w:val="00711068"/>
    <w:rsid w:val="00711094"/>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2E0"/>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234"/>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CC8"/>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DF6"/>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734"/>
    <w:rsid w:val="00767AA3"/>
    <w:rsid w:val="007702C4"/>
    <w:rsid w:val="0077036F"/>
    <w:rsid w:val="007707CB"/>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03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7B7"/>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069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7E"/>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20F"/>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3A4"/>
    <w:rsid w:val="008B64A9"/>
    <w:rsid w:val="008B665B"/>
    <w:rsid w:val="008B69A3"/>
    <w:rsid w:val="008B6ADD"/>
    <w:rsid w:val="008B6AFF"/>
    <w:rsid w:val="008B6BCF"/>
    <w:rsid w:val="008B737E"/>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5A1"/>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522"/>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0C2"/>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64B"/>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44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916"/>
    <w:rsid w:val="00A34A47"/>
    <w:rsid w:val="00A34D9F"/>
    <w:rsid w:val="00A35177"/>
    <w:rsid w:val="00A35265"/>
    <w:rsid w:val="00A357A8"/>
    <w:rsid w:val="00A35AE4"/>
    <w:rsid w:val="00A35C2D"/>
    <w:rsid w:val="00A35F21"/>
    <w:rsid w:val="00A3668B"/>
    <w:rsid w:val="00A36F1F"/>
    <w:rsid w:val="00A3734C"/>
    <w:rsid w:val="00A37565"/>
    <w:rsid w:val="00A37EE4"/>
    <w:rsid w:val="00A4088C"/>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3D5"/>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4C9"/>
    <w:rsid w:val="00AA0764"/>
    <w:rsid w:val="00AA0C65"/>
    <w:rsid w:val="00AA163C"/>
    <w:rsid w:val="00AA1A66"/>
    <w:rsid w:val="00AA1AE8"/>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0A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592"/>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4F2C"/>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90E"/>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D"/>
    <w:rsid w:val="00BB580D"/>
    <w:rsid w:val="00BB6106"/>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22B"/>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B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1FE2"/>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7A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25D"/>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1C51"/>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1FE5"/>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039B"/>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18D"/>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2EF"/>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9E1"/>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1AF"/>
    <w:rsid w:val="00E6734C"/>
    <w:rsid w:val="00E673B1"/>
    <w:rsid w:val="00E676BA"/>
    <w:rsid w:val="00E67759"/>
    <w:rsid w:val="00E677BE"/>
    <w:rsid w:val="00E6795C"/>
    <w:rsid w:val="00E67DF0"/>
    <w:rsid w:val="00E67FE2"/>
    <w:rsid w:val="00E7076D"/>
    <w:rsid w:val="00E70988"/>
    <w:rsid w:val="00E70DE7"/>
    <w:rsid w:val="00E7147A"/>
    <w:rsid w:val="00E71B29"/>
    <w:rsid w:val="00E71D97"/>
    <w:rsid w:val="00E71E63"/>
    <w:rsid w:val="00E71EED"/>
    <w:rsid w:val="00E72BD1"/>
    <w:rsid w:val="00E730F1"/>
    <w:rsid w:val="00E73201"/>
    <w:rsid w:val="00E734F6"/>
    <w:rsid w:val="00E737D8"/>
    <w:rsid w:val="00E73F3B"/>
    <w:rsid w:val="00E747F9"/>
    <w:rsid w:val="00E7484D"/>
    <w:rsid w:val="00E74AAE"/>
    <w:rsid w:val="00E74EDC"/>
    <w:rsid w:val="00E75048"/>
    <w:rsid w:val="00E757A6"/>
    <w:rsid w:val="00E75F33"/>
    <w:rsid w:val="00E75F87"/>
    <w:rsid w:val="00E76149"/>
    <w:rsid w:val="00E76E75"/>
    <w:rsid w:val="00E77E58"/>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8E5"/>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1D6E"/>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292A"/>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358A6"/>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8E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3C7E97"/>
    <w:pPr>
      <w:keepNext/>
      <w:numPr>
        <w:ilvl w:val="1"/>
        <w:numId w:val="1"/>
      </w:numPr>
      <w:tabs>
        <w:tab w:val="left" w:pos="0"/>
      </w:tabs>
      <w:spacing w:before="300" w:after="60"/>
      <w:outlineLvl w:val="0"/>
    </w:pPr>
    <w:rPr>
      <w:rFonts w:ascii="Arial" w:eastAsia="바탕" w:hAnsi="Arial" w:cs="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3C7E97"/>
    <w:rPr>
      <w:rFonts w:ascii="Arial" w:hAnsi="Arial" w:cs="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Doc">
    <w:name w:val="Doc"/>
    <w:basedOn w:val="a0"/>
    <w:link w:val="DocChar"/>
    <w:qFormat/>
    <w:rsid w:val="00AA1AE8"/>
    <w:pPr>
      <w:spacing w:before="120" w:after="120" w:line="240" w:lineRule="auto"/>
      <w:ind w:left="0" w:firstLineChars="100" w:firstLine="220"/>
    </w:pPr>
    <w:rPr>
      <w:rFonts w:eastAsia="바탕"/>
      <w:sz w:val="22"/>
      <w:szCs w:val="22"/>
      <w:lang w:eastAsia="ko-KR"/>
    </w:rPr>
  </w:style>
  <w:style w:type="paragraph" w:customStyle="1" w:styleId="Proposal">
    <w:name w:val="Proposal"/>
    <w:basedOn w:val="a0"/>
    <w:link w:val="ProposalChar"/>
    <w:qFormat/>
    <w:rsid w:val="008B737E"/>
    <w:pPr>
      <w:spacing w:before="120" w:after="120" w:line="240" w:lineRule="auto"/>
      <w:ind w:left="0" w:firstLineChars="100" w:firstLine="216"/>
    </w:pPr>
    <w:rPr>
      <w:rFonts w:eastAsia="바탕"/>
      <w:b/>
      <w:sz w:val="22"/>
      <w:szCs w:val="22"/>
      <w:lang w:eastAsia="ko-KR"/>
    </w:rPr>
  </w:style>
  <w:style w:type="character" w:customStyle="1" w:styleId="DocChar">
    <w:name w:val="Doc Char"/>
    <w:basedOn w:val="a1"/>
    <w:link w:val="Doc"/>
    <w:rsid w:val="00AA1AE8"/>
    <w:rPr>
      <w:sz w:val="22"/>
      <w:szCs w:val="22"/>
      <w:lang w:val="en-GB"/>
    </w:rPr>
  </w:style>
  <w:style w:type="character" w:customStyle="1" w:styleId="ProposalChar">
    <w:name w:val="Proposal Char"/>
    <w:basedOn w:val="a1"/>
    <w:link w:val="Proposal"/>
    <w:rsid w:val="008B737E"/>
    <w:rPr>
      <w:b/>
      <w:sz w:val="22"/>
      <w:szCs w:val="22"/>
      <w:lang w:val="en-GB"/>
    </w:rPr>
  </w:style>
  <w:style w:type="paragraph" w:customStyle="1" w:styleId="af6">
    <w:name w:val="[특허 본문]"/>
    <w:basedOn w:val="a0"/>
    <w:qFormat/>
    <w:rsid w:val="003F3D73"/>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paragraph" w:customStyle="1" w:styleId="22">
    <w:name w:val="본문2"/>
    <w:basedOn w:val="a0"/>
    <w:link w:val="2Char"/>
    <w:qFormat/>
    <w:rsid w:val="003F3D73"/>
    <w:pPr>
      <w:autoSpaceDE w:val="0"/>
      <w:autoSpaceDN w:val="0"/>
      <w:spacing w:after="60" w:line="240" w:lineRule="auto"/>
      <w:ind w:left="1021" w:firstLine="0"/>
      <w:jc w:val="left"/>
    </w:pPr>
    <w:rPr>
      <w:rFonts w:ascii="맑은 고딕" w:eastAsia="맑은 고딕" w:hAnsi="맑은 고딕" w:cs="Rix고딕 L"/>
      <w:color w:val="0D0D0D"/>
      <w:spacing w:val="-4"/>
      <w:sz w:val="18"/>
      <w:szCs w:val="18"/>
      <w:lang w:val="en-US" w:eastAsia="ko-KR"/>
    </w:rPr>
  </w:style>
  <w:style w:type="character" w:customStyle="1" w:styleId="2Char">
    <w:name w:val="본문2 Char"/>
    <w:basedOn w:val="a1"/>
    <w:link w:val="22"/>
    <w:rsid w:val="003F3D73"/>
    <w:rPr>
      <w:rFonts w:ascii="맑은 고딕" w:eastAsia="맑은 고딕" w:hAnsi="맑은 고딕" w:cs="Rix고딕 L"/>
      <w:color w:val="0D0D0D"/>
      <w:spacing w:val="-4"/>
      <w:sz w:val="18"/>
      <w:szCs w:val="18"/>
    </w:rPr>
  </w:style>
  <w:style w:type="table" w:styleId="40">
    <w:name w:val="Grid Table 4"/>
    <w:basedOn w:val="a2"/>
    <w:uiPriority w:val="49"/>
    <w:rsid w:val="003F3D73"/>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0407489">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DC29D-81E0-47B8-B3B5-8CA1F2BE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5</Pages>
  <Words>1433</Words>
  <Characters>8173</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60</cp:revision>
  <cp:lastPrinted>2018-02-12T06:55:00Z</cp:lastPrinted>
  <dcterms:created xsi:type="dcterms:W3CDTF">2020-05-15T08:19:00Z</dcterms:created>
  <dcterms:modified xsi:type="dcterms:W3CDTF">2021-08-06T15:28:00Z</dcterms:modified>
</cp:coreProperties>
</file>